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黑体" w:hAnsi="黑体" w:eastAsia="黑体" w:cs="黑体"/>
          <w:sz w:val="36"/>
          <w:szCs w:val="36"/>
        </w:rPr>
      </w:pPr>
      <w:r>
        <w:rPr>
          <w:rFonts w:hint="eastAsia" w:ascii="黑体" w:hAnsi="黑体" w:eastAsia="黑体" w:cs="黑体"/>
          <w:sz w:val="36"/>
          <w:szCs w:val="36"/>
        </w:rPr>
        <w:t>碑林区转移支付及扶贫资金、举借债务、</w:t>
      </w:r>
    </w:p>
    <w:p>
      <w:pPr>
        <w:spacing w:line="560" w:lineRule="exact"/>
        <w:jc w:val="center"/>
        <w:rPr>
          <w:rFonts w:ascii="黑体" w:hAnsi="黑体" w:eastAsia="黑体" w:cs="黑体"/>
          <w:sz w:val="36"/>
          <w:szCs w:val="36"/>
        </w:rPr>
      </w:pPr>
      <w:r>
        <w:rPr>
          <w:rFonts w:hint="eastAsia" w:ascii="黑体" w:hAnsi="黑体" w:eastAsia="黑体" w:cs="黑体"/>
          <w:sz w:val="36"/>
          <w:szCs w:val="36"/>
        </w:rPr>
        <w:t>绩效工作开展情况说明</w:t>
      </w:r>
    </w:p>
    <w:p>
      <w:pPr>
        <w:spacing w:line="560" w:lineRule="exact"/>
        <w:rPr>
          <w:rFonts w:ascii="黑体" w:hAnsi="黑体" w:eastAsia="黑体" w:cs="黑体"/>
          <w:sz w:val="36"/>
          <w:szCs w:val="36"/>
        </w:rPr>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一、转移支付</w:t>
      </w:r>
      <w:r>
        <w:rPr>
          <w:rFonts w:hint="eastAsia" w:ascii="黑体" w:hAnsi="黑体" w:eastAsia="黑体" w:cs="黑体"/>
          <w:sz w:val="32"/>
          <w:szCs w:val="32"/>
          <w:lang w:eastAsia="zh-CN"/>
        </w:rPr>
        <w:t>及扶贫资金</w:t>
      </w:r>
      <w:r>
        <w:rPr>
          <w:rFonts w:hint="eastAsia" w:ascii="黑体" w:hAnsi="黑体" w:eastAsia="黑体" w:cs="黑体"/>
          <w:sz w:val="32"/>
          <w:szCs w:val="32"/>
        </w:rPr>
        <w:t>情况说明</w:t>
      </w:r>
    </w:p>
    <w:p>
      <w:pPr>
        <w:spacing w:line="560" w:lineRule="exact"/>
        <w:ind w:firstLine="645"/>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根据《预算法》，财政转移支付包括中央对地方的转移支付和地方上级政府对下级政府的转移支付。碑林区作为基层政府，没有对下级的转移支付。</w:t>
      </w:r>
      <w:r>
        <w:rPr>
          <w:rFonts w:hint="eastAsia" w:ascii="仿宋_GB2312" w:hAnsi="Times New Roman" w:eastAsia="仿宋_GB2312" w:cs="Times New Roman"/>
          <w:sz w:val="32"/>
          <w:szCs w:val="32"/>
          <w:lang w:eastAsia="zh-CN"/>
        </w:rPr>
        <w:t>且我区无上级下达涉贫资金，无相关公开信息。</w:t>
      </w:r>
    </w:p>
    <w:p>
      <w:pPr>
        <w:widowControl/>
        <w:spacing w:line="600" w:lineRule="exact"/>
        <w:ind w:firstLine="640" w:firstLineChars="200"/>
        <w:rPr>
          <w:rFonts w:ascii="黑体" w:hAnsi="黑体" w:eastAsia="黑体" w:cs="仿宋"/>
          <w:kern w:val="0"/>
          <w:sz w:val="32"/>
          <w:szCs w:val="32"/>
        </w:rPr>
      </w:pPr>
      <w:r>
        <w:rPr>
          <w:rFonts w:hint="eastAsia" w:ascii="黑体" w:hAnsi="黑体" w:eastAsia="黑体" w:cs="仿宋"/>
          <w:kern w:val="0"/>
          <w:sz w:val="32"/>
          <w:szCs w:val="32"/>
        </w:rPr>
        <w:t>二、举借债务情况说明</w:t>
      </w:r>
    </w:p>
    <w:p>
      <w:pPr>
        <w:widowControl/>
        <w:spacing w:line="600" w:lineRule="exact"/>
        <w:ind w:firstLine="640" w:firstLineChars="200"/>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rPr>
        <w:t>碑林区</w:t>
      </w:r>
      <w:r>
        <w:rPr>
          <w:rFonts w:hint="eastAsia" w:ascii="仿宋" w:hAnsi="仿宋" w:eastAsia="仿宋" w:cs="仿宋"/>
          <w:color w:val="auto"/>
          <w:kern w:val="0"/>
          <w:sz w:val="32"/>
          <w:szCs w:val="32"/>
          <w:lang w:val="en-US" w:eastAsia="zh-CN"/>
        </w:rPr>
        <w:t>2019年无新增举借债务。2019年</w:t>
      </w:r>
      <w:r>
        <w:rPr>
          <w:rFonts w:hint="eastAsia" w:ascii="仿宋" w:hAnsi="仿宋" w:eastAsia="仿宋" w:cs="仿宋"/>
          <w:color w:val="auto"/>
          <w:kern w:val="0"/>
          <w:sz w:val="32"/>
          <w:szCs w:val="32"/>
          <w:lang w:eastAsia="zh-CN"/>
        </w:rPr>
        <w:t>地方</w:t>
      </w:r>
      <w:r>
        <w:rPr>
          <w:rFonts w:hint="eastAsia" w:ascii="仿宋" w:hAnsi="仿宋" w:eastAsia="仿宋" w:cs="仿宋"/>
          <w:color w:val="auto"/>
          <w:kern w:val="0"/>
          <w:sz w:val="32"/>
          <w:szCs w:val="32"/>
        </w:rPr>
        <w:t>政府债务</w:t>
      </w:r>
      <w:r>
        <w:rPr>
          <w:rFonts w:hint="eastAsia" w:ascii="仿宋" w:hAnsi="仿宋" w:eastAsia="仿宋" w:cs="仿宋"/>
          <w:color w:val="auto"/>
          <w:kern w:val="0"/>
          <w:sz w:val="32"/>
          <w:szCs w:val="32"/>
          <w:lang w:eastAsia="zh-CN"/>
        </w:rPr>
        <w:t>限额</w:t>
      </w:r>
      <w:r>
        <w:rPr>
          <w:rFonts w:hint="eastAsia" w:ascii="仿宋" w:hAnsi="仿宋" w:eastAsia="仿宋" w:cs="仿宋"/>
          <w:color w:val="auto"/>
          <w:kern w:val="0"/>
          <w:sz w:val="32"/>
          <w:szCs w:val="32"/>
          <w:lang w:val="en-US" w:eastAsia="zh-CN"/>
        </w:rPr>
        <w:t>7.15亿元，其中</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eastAsia="zh-CN"/>
        </w:rPr>
        <w:t>一般</w:t>
      </w:r>
      <w:r>
        <w:rPr>
          <w:rFonts w:hint="eastAsia" w:ascii="仿宋" w:hAnsi="仿宋" w:eastAsia="仿宋" w:cs="仿宋"/>
          <w:color w:val="auto"/>
          <w:kern w:val="0"/>
          <w:sz w:val="32"/>
          <w:szCs w:val="32"/>
        </w:rPr>
        <w:t>债务</w:t>
      </w:r>
      <w:r>
        <w:rPr>
          <w:rFonts w:hint="eastAsia" w:ascii="仿宋" w:hAnsi="仿宋" w:eastAsia="仿宋" w:cs="仿宋"/>
          <w:color w:val="auto"/>
          <w:kern w:val="0"/>
          <w:sz w:val="32"/>
          <w:szCs w:val="32"/>
          <w:lang w:eastAsia="zh-CN"/>
        </w:rPr>
        <w:t>限</w:t>
      </w:r>
      <w:r>
        <w:rPr>
          <w:rFonts w:hint="eastAsia" w:ascii="仿宋" w:hAnsi="仿宋" w:eastAsia="仿宋" w:cs="仿宋"/>
          <w:color w:val="auto"/>
          <w:kern w:val="0"/>
          <w:sz w:val="32"/>
          <w:szCs w:val="32"/>
        </w:rPr>
        <w:t>额</w:t>
      </w:r>
      <w:r>
        <w:rPr>
          <w:rFonts w:hint="eastAsia" w:ascii="仿宋" w:hAnsi="仿宋" w:eastAsia="仿宋" w:cs="仿宋"/>
          <w:color w:val="auto"/>
          <w:kern w:val="0"/>
          <w:sz w:val="32"/>
          <w:szCs w:val="32"/>
          <w:lang w:val="en-US" w:eastAsia="zh-CN"/>
        </w:rPr>
        <w:t>5.3亿元，专项债务限额1.85亿元。2019年</w:t>
      </w:r>
      <w:r>
        <w:rPr>
          <w:rFonts w:hint="eastAsia" w:ascii="仿宋" w:hAnsi="仿宋" w:eastAsia="仿宋" w:cs="仿宋"/>
          <w:color w:val="auto"/>
          <w:kern w:val="0"/>
          <w:sz w:val="32"/>
          <w:szCs w:val="32"/>
          <w:lang w:eastAsia="zh-CN"/>
        </w:rPr>
        <w:t>地方</w:t>
      </w:r>
      <w:r>
        <w:rPr>
          <w:rFonts w:hint="eastAsia" w:ascii="仿宋" w:hAnsi="仿宋" w:eastAsia="仿宋" w:cs="仿宋"/>
          <w:color w:val="auto"/>
          <w:kern w:val="0"/>
          <w:sz w:val="32"/>
          <w:szCs w:val="32"/>
        </w:rPr>
        <w:t>政府债务</w:t>
      </w:r>
      <w:r>
        <w:rPr>
          <w:rFonts w:hint="eastAsia" w:ascii="仿宋" w:hAnsi="仿宋" w:eastAsia="仿宋" w:cs="仿宋"/>
          <w:color w:val="auto"/>
          <w:kern w:val="0"/>
          <w:sz w:val="32"/>
          <w:szCs w:val="32"/>
          <w:lang w:eastAsia="zh-CN"/>
        </w:rPr>
        <w:t>余额</w:t>
      </w:r>
      <w:r>
        <w:rPr>
          <w:rFonts w:hint="eastAsia" w:ascii="仿宋" w:hAnsi="仿宋" w:eastAsia="仿宋" w:cs="仿宋"/>
          <w:color w:val="auto"/>
          <w:kern w:val="0"/>
          <w:sz w:val="32"/>
          <w:szCs w:val="32"/>
          <w:lang w:val="en-US" w:eastAsia="zh-CN"/>
        </w:rPr>
        <w:t>3.46亿元，其中</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eastAsia="zh-CN"/>
        </w:rPr>
        <w:t>一般</w:t>
      </w:r>
      <w:r>
        <w:rPr>
          <w:rFonts w:hint="eastAsia" w:ascii="仿宋" w:hAnsi="仿宋" w:eastAsia="仿宋" w:cs="仿宋"/>
          <w:color w:val="auto"/>
          <w:kern w:val="0"/>
          <w:sz w:val="32"/>
          <w:szCs w:val="32"/>
        </w:rPr>
        <w:t>债务余额</w:t>
      </w:r>
      <w:r>
        <w:rPr>
          <w:rFonts w:hint="eastAsia" w:ascii="仿宋" w:hAnsi="仿宋" w:eastAsia="仿宋" w:cs="仿宋"/>
          <w:color w:val="auto"/>
          <w:kern w:val="0"/>
          <w:sz w:val="32"/>
          <w:szCs w:val="32"/>
          <w:lang w:val="en-US" w:eastAsia="zh-CN"/>
        </w:rPr>
        <w:t>3.38</w:t>
      </w:r>
      <w:r>
        <w:rPr>
          <w:rFonts w:hint="eastAsia" w:ascii="仿宋" w:hAnsi="仿宋" w:eastAsia="仿宋" w:cs="仿宋"/>
          <w:color w:val="auto"/>
          <w:kern w:val="0"/>
          <w:sz w:val="32"/>
          <w:szCs w:val="32"/>
          <w:lang w:eastAsia="zh-CN"/>
        </w:rPr>
        <w:t>亿</w:t>
      </w:r>
      <w:r>
        <w:rPr>
          <w:rFonts w:hint="eastAsia" w:ascii="仿宋" w:hAnsi="仿宋" w:eastAsia="仿宋" w:cs="仿宋"/>
          <w:color w:val="auto"/>
          <w:kern w:val="0"/>
          <w:sz w:val="32"/>
          <w:szCs w:val="32"/>
        </w:rPr>
        <w:t>元;</w:t>
      </w:r>
      <w:r>
        <w:rPr>
          <w:rFonts w:hint="eastAsia" w:ascii="仿宋" w:hAnsi="仿宋" w:eastAsia="仿宋" w:cs="仿宋"/>
          <w:color w:val="auto"/>
          <w:kern w:val="0"/>
          <w:sz w:val="32"/>
          <w:szCs w:val="32"/>
          <w:lang w:eastAsia="zh-CN"/>
        </w:rPr>
        <w:t>专项</w:t>
      </w:r>
      <w:r>
        <w:rPr>
          <w:rFonts w:hint="eastAsia" w:ascii="仿宋" w:hAnsi="仿宋" w:eastAsia="仿宋" w:cs="仿宋"/>
          <w:color w:val="auto"/>
          <w:kern w:val="0"/>
          <w:sz w:val="32"/>
          <w:szCs w:val="32"/>
        </w:rPr>
        <w:t>债务余额</w:t>
      </w:r>
      <w:r>
        <w:rPr>
          <w:rFonts w:hint="eastAsia" w:ascii="仿宋" w:hAnsi="仿宋" w:eastAsia="仿宋" w:cs="仿宋"/>
          <w:color w:val="auto"/>
          <w:kern w:val="0"/>
          <w:sz w:val="32"/>
          <w:szCs w:val="32"/>
          <w:lang w:val="en-US" w:eastAsia="zh-CN"/>
        </w:rPr>
        <w:t>0.09</w:t>
      </w:r>
      <w:r>
        <w:rPr>
          <w:rFonts w:hint="eastAsia" w:ascii="仿宋" w:hAnsi="仿宋" w:eastAsia="仿宋" w:cs="仿宋"/>
          <w:color w:val="auto"/>
          <w:kern w:val="0"/>
          <w:sz w:val="32"/>
          <w:szCs w:val="32"/>
          <w:lang w:eastAsia="zh-CN"/>
        </w:rPr>
        <w:t>亿</w:t>
      </w:r>
      <w:r>
        <w:rPr>
          <w:rFonts w:hint="eastAsia" w:ascii="仿宋" w:hAnsi="仿宋" w:eastAsia="仿宋" w:cs="仿宋"/>
          <w:color w:val="auto"/>
          <w:kern w:val="0"/>
          <w:sz w:val="32"/>
          <w:szCs w:val="32"/>
        </w:rPr>
        <w:t>元。</w:t>
      </w:r>
      <w:r>
        <w:rPr>
          <w:rFonts w:hint="eastAsia" w:ascii="仿宋" w:hAnsi="仿宋" w:eastAsia="仿宋" w:cs="仿宋"/>
          <w:color w:val="auto"/>
          <w:kern w:val="0"/>
          <w:sz w:val="32"/>
          <w:szCs w:val="32"/>
          <w:lang w:val="en-US" w:eastAsia="zh-CN"/>
        </w:rPr>
        <w:t>2019年</w:t>
      </w:r>
      <w:r>
        <w:rPr>
          <w:rFonts w:hint="eastAsia" w:ascii="仿宋" w:hAnsi="仿宋" w:eastAsia="仿宋" w:cs="仿宋"/>
          <w:color w:val="auto"/>
          <w:kern w:val="0"/>
          <w:sz w:val="32"/>
          <w:szCs w:val="32"/>
          <w:lang w:eastAsia="zh-CN"/>
        </w:rPr>
        <w:t>地方</w:t>
      </w:r>
      <w:r>
        <w:rPr>
          <w:rFonts w:hint="eastAsia" w:ascii="仿宋" w:hAnsi="仿宋" w:eastAsia="仿宋" w:cs="仿宋"/>
          <w:color w:val="auto"/>
          <w:kern w:val="0"/>
          <w:sz w:val="32"/>
          <w:szCs w:val="32"/>
        </w:rPr>
        <w:t>政府债</w:t>
      </w:r>
      <w:r>
        <w:rPr>
          <w:rFonts w:hint="eastAsia" w:ascii="仿宋" w:hAnsi="仿宋" w:eastAsia="仿宋" w:cs="仿宋"/>
          <w:color w:val="auto"/>
          <w:kern w:val="0"/>
          <w:sz w:val="32"/>
          <w:szCs w:val="32"/>
          <w:lang w:eastAsia="zh-CN"/>
        </w:rPr>
        <w:t>券还本付息</w:t>
      </w:r>
      <w:r>
        <w:rPr>
          <w:rFonts w:hint="eastAsia" w:ascii="仿宋" w:hAnsi="仿宋" w:eastAsia="仿宋" w:cs="仿宋"/>
          <w:color w:val="auto"/>
          <w:kern w:val="0"/>
          <w:sz w:val="32"/>
          <w:szCs w:val="32"/>
          <w:lang w:val="en-US" w:eastAsia="zh-CN"/>
        </w:rPr>
        <w:t>0.46亿元，其中：本金0.34亿元，利息0.12亿元。2019年再融资债券0.315亿元。2020年预计债券还本付息0.75亿元，其中：本金0.64亿元，利息0.11亿元。</w:t>
      </w:r>
    </w:p>
    <w:p>
      <w:pPr>
        <w:widowControl/>
        <w:spacing w:line="600" w:lineRule="exact"/>
        <w:ind w:firstLine="640" w:firstLineChars="200"/>
        <w:rPr>
          <w:rFonts w:ascii="黑体" w:hAnsi="黑体" w:eastAsia="黑体" w:cs="仿宋"/>
          <w:kern w:val="0"/>
          <w:sz w:val="32"/>
          <w:szCs w:val="32"/>
        </w:rPr>
      </w:pPr>
      <w:r>
        <w:rPr>
          <w:rFonts w:hint="eastAsia" w:ascii="黑体" w:hAnsi="黑体" w:eastAsia="黑体" w:cs="仿宋"/>
          <w:kern w:val="0"/>
          <w:sz w:val="32"/>
          <w:szCs w:val="32"/>
        </w:rPr>
        <w:t>三、预算绩效工作开展情况说明</w:t>
      </w:r>
    </w:p>
    <w:p>
      <w:pPr>
        <w:ind w:firstLine="640" w:firstLineChars="200"/>
        <w:rPr>
          <w:rFonts w:ascii="宋体" w:hAnsi="宋体" w:cs="宋体"/>
          <w:bCs/>
          <w:kern w:val="0"/>
          <w:sz w:val="22"/>
        </w:rPr>
      </w:pPr>
      <w:r>
        <w:rPr>
          <w:rFonts w:hint="eastAsia" w:ascii="仿宋_GB2312" w:eastAsia="仿宋_GB2312" w:cs="Calibri"/>
          <w:sz w:val="32"/>
          <w:szCs w:val="32"/>
        </w:rPr>
        <w:t>为确保碑林区3年内基本建成全方位、全过程、全覆盖的预算绩效管理体系，实现预算和绩效管理一体化目标，2019年，我区通过完善预算绩效管理制度，创新预算评审模式，提高全过程管理质量，</w:t>
      </w:r>
      <w:r>
        <w:rPr>
          <w:rFonts w:hint="eastAsia" w:ascii="仿宋" w:hAnsi="仿宋" w:eastAsia="仿宋"/>
          <w:sz w:val="32"/>
          <w:szCs w:val="32"/>
        </w:rPr>
        <w:t>开展重点评价和部门自行评价，</w:t>
      </w:r>
      <w:r>
        <w:rPr>
          <w:rFonts w:hint="eastAsia" w:ascii="仿宋_GB2312" w:eastAsia="仿宋_GB2312" w:cs="Calibri"/>
          <w:sz w:val="32"/>
          <w:szCs w:val="32"/>
        </w:rPr>
        <w:t>提高了财政资金的使用效益。</w:t>
      </w:r>
      <w:bookmarkStart w:id="0" w:name="_GoBack"/>
      <w:bookmarkEnd w:id="0"/>
      <w:r>
        <w:rPr>
          <w:rFonts w:hint="eastAsia" w:ascii="仿宋_GB2312" w:hAnsi="仿宋_GB2312" w:eastAsia="仿宋_GB2312" w:cs="仿宋_GB2312"/>
          <w:sz w:val="32"/>
        </w:rPr>
        <w:t>2020年继续做好预算</w:t>
      </w:r>
      <w:r>
        <w:rPr>
          <w:rFonts w:ascii="仿宋_GB2312" w:hAnsi="仿宋_GB2312" w:eastAsia="仿宋_GB2312" w:cs="仿宋_GB2312"/>
          <w:sz w:val="32"/>
        </w:rPr>
        <w:t>绩效管理</w:t>
      </w:r>
      <w:r>
        <w:rPr>
          <w:rFonts w:hint="eastAsia" w:ascii="仿宋_GB2312" w:hAnsi="仿宋_GB2312" w:eastAsia="仿宋_GB2312" w:cs="仿宋_GB2312"/>
          <w:sz w:val="32"/>
        </w:rPr>
        <w:t>工作，逐步</w:t>
      </w:r>
      <w:r>
        <w:rPr>
          <w:rFonts w:hint="eastAsia" w:ascii="仿宋_GB2312" w:eastAsia="仿宋_GB2312"/>
          <w:sz w:val="32"/>
          <w:szCs w:val="32"/>
        </w:rPr>
        <w:t>实现绩效目标与预算同步编报、同步审核、同步批复、同步公开，</w:t>
      </w:r>
      <w:r>
        <w:rPr>
          <w:rFonts w:hint="eastAsia" w:ascii="仿宋_GB2312" w:eastAsia="仿宋_GB2312" w:cs="Calibri"/>
          <w:sz w:val="32"/>
          <w:szCs w:val="32"/>
        </w:rPr>
        <w:t>使有限财政资源合理配置，财政资金效益明显提高，</w:t>
      </w:r>
      <w:r>
        <w:rPr>
          <w:rFonts w:hint="eastAsia" w:ascii="仿宋_GB2312" w:eastAsia="仿宋_GB2312"/>
          <w:sz w:val="32"/>
          <w:szCs w:val="32"/>
        </w:rPr>
        <w:t>政府公信力和执行力持续增强，实现政府治理现代化和经济社会高质量发展。</w:t>
      </w:r>
    </w:p>
    <w:p>
      <w:pPr>
        <w:widowControl/>
        <w:ind w:firstLine="640" w:firstLineChars="200"/>
        <w:jc w:val="left"/>
        <w:rPr>
          <w:rFonts w:ascii="仿宋" w:hAnsi="仿宋" w:eastAsia="仿宋" w:cs="仿宋"/>
          <w:kern w:val="0"/>
          <w:sz w:val="32"/>
          <w:szCs w:val="32"/>
        </w:rPr>
      </w:pPr>
    </w:p>
    <w:sectPr>
      <w:pgSz w:w="11906" w:h="16838"/>
      <w:pgMar w:top="1474" w:right="1587" w:bottom="147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3D9044AB"/>
    <w:rsid w:val="0001025D"/>
    <w:rsid w:val="0001439F"/>
    <w:rsid w:val="00044FB6"/>
    <w:rsid w:val="00102D76"/>
    <w:rsid w:val="001705E6"/>
    <w:rsid w:val="001B11A9"/>
    <w:rsid w:val="002B1912"/>
    <w:rsid w:val="00375F29"/>
    <w:rsid w:val="003E5CA5"/>
    <w:rsid w:val="0048531C"/>
    <w:rsid w:val="004B0382"/>
    <w:rsid w:val="00523037"/>
    <w:rsid w:val="005320E1"/>
    <w:rsid w:val="005975B2"/>
    <w:rsid w:val="00660B27"/>
    <w:rsid w:val="00702793"/>
    <w:rsid w:val="007220FE"/>
    <w:rsid w:val="0075397A"/>
    <w:rsid w:val="00950568"/>
    <w:rsid w:val="00976445"/>
    <w:rsid w:val="009D7F0F"/>
    <w:rsid w:val="00A24F6C"/>
    <w:rsid w:val="00A5383F"/>
    <w:rsid w:val="00AA4120"/>
    <w:rsid w:val="00AF6669"/>
    <w:rsid w:val="00BF5972"/>
    <w:rsid w:val="00BF6007"/>
    <w:rsid w:val="00C7167D"/>
    <w:rsid w:val="00CC0405"/>
    <w:rsid w:val="00D23DA4"/>
    <w:rsid w:val="00DC6B04"/>
    <w:rsid w:val="00EB1E4E"/>
    <w:rsid w:val="00ED7B26"/>
    <w:rsid w:val="00EE1309"/>
    <w:rsid w:val="00EF3310"/>
    <w:rsid w:val="00EF5B70"/>
    <w:rsid w:val="00F157E4"/>
    <w:rsid w:val="00FA3C1E"/>
    <w:rsid w:val="02D43640"/>
    <w:rsid w:val="077A40DB"/>
    <w:rsid w:val="099727C3"/>
    <w:rsid w:val="18616676"/>
    <w:rsid w:val="1C6944C8"/>
    <w:rsid w:val="2B0E576B"/>
    <w:rsid w:val="2C396C19"/>
    <w:rsid w:val="37006E18"/>
    <w:rsid w:val="38EA5AFF"/>
    <w:rsid w:val="3D9044AB"/>
    <w:rsid w:val="43291776"/>
    <w:rsid w:val="4FBE6A9B"/>
    <w:rsid w:val="52DE5E3B"/>
    <w:rsid w:val="61771E21"/>
    <w:rsid w:val="7957436B"/>
    <w:rsid w:val="7E907C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Pages>
  <Words>72</Words>
  <Characters>414</Characters>
  <Lines>3</Lines>
  <Paragraphs>1</Paragraphs>
  <TotalTime>1</TotalTime>
  <ScaleCrop>false</ScaleCrop>
  <LinksUpToDate>false</LinksUpToDate>
  <CharactersWithSpaces>485</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2018-05-16T09:44:00Z</dcterms:created>
  <dc:creator>不哭的易拉罐</dc:creator>
  <cp:lastModifiedBy>Administrator</cp:lastModifiedBy>
  <cp:lastPrinted>2019-02-14T03:58:00Z</cp:lastPrinted>
  <dcterms:modified xsi:type="dcterms:W3CDTF">2020-03-05T01:15:21Z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