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rPr>
        <w:t>碑林区市场监督管理局行政处罚信息公开（20</w:t>
      </w:r>
      <w:r>
        <w:rPr>
          <w:rFonts w:hint="eastAsia" w:ascii="方正小标宋简体" w:eastAsia="方正小标宋简体"/>
          <w:sz w:val="44"/>
          <w:szCs w:val="44"/>
          <w:lang w:val="en-US" w:eastAsia="zh-CN"/>
        </w:rPr>
        <w:t>23</w:t>
      </w:r>
      <w:r>
        <w:rPr>
          <w:rFonts w:hint="eastAsia" w:ascii="方正小标宋简体" w:eastAsia="方正小标宋简体"/>
          <w:sz w:val="44"/>
          <w:szCs w:val="44"/>
        </w:rPr>
        <w:t>年</w:t>
      </w:r>
      <w:r>
        <w:rPr>
          <w:rFonts w:hint="eastAsia" w:ascii="方正小标宋简体" w:eastAsia="方正小标宋简体"/>
          <w:sz w:val="44"/>
          <w:szCs w:val="44"/>
          <w:lang w:val="en-US" w:eastAsia="zh-CN"/>
        </w:rPr>
        <w:t>6</w:t>
      </w:r>
      <w:r>
        <w:rPr>
          <w:rFonts w:hint="eastAsia" w:ascii="方正小标宋简体" w:eastAsia="方正小标宋简体"/>
          <w:sz w:val="44"/>
          <w:szCs w:val="44"/>
        </w:rPr>
        <w:t>月</w:t>
      </w:r>
      <w:r>
        <w:rPr>
          <w:rFonts w:hint="eastAsia" w:ascii="方正小标宋简体" w:eastAsia="方正小标宋简体"/>
          <w:sz w:val="44"/>
          <w:szCs w:val="44"/>
          <w:lang w:val="en-US" w:eastAsia="zh-CN"/>
        </w:rPr>
        <w:t>9</w:t>
      </w:r>
      <w:r>
        <w:rPr>
          <w:rFonts w:hint="eastAsia" w:ascii="方正小标宋简体" w:eastAsia="方正小标宋简体"/>
          <w:sz w:val="44"/>
          <w:szCs w:val="44"/>
        </w:rPr>
        <w:t>日）</w:t>
      </w:r>
    </w:p>
    <w:tbl>
      <w:tblPr>
        <w:tblStyle w:val="5"/>
        <w:tblpPr w:leftFromText="180" w:rightFromText="180" w:vertAnchor="page" w:horzAnchor="margin" w:tblpX="-864" w:tblpY="3048"/>
        <w:tblW w:w="159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6"/>
        <w:gridCol w:w="1038"/>
        <w:gridCol w:w="1397"/>
        <w:gridCol w:w="850"/>
        <w:gridCol w:w="851"/>
        <w:gridCol w:w="1275"/>
        <w:gridCol w:w="872"/>
        <w:gridCol w:w="1134"/>
        <w:gridCol w:w="688"/>
        <w:gridCol w:w="708"/>
        <w:gridCol w:w="993"/>
        <w:gridCol w:w="1842"/>
        <w:gridCol w:w="1843"/>
        <w:gridCol w:w="1134"/>
        <w:gridCol w:w="567"/>
        <w:gridCol w:w="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346" w:type="dxa"/>
            <w:vAlign w:val="center"/>
          </w:tcPr>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序</w:t>
            </w:r>
          </w:p>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号</w:t>
            </w:r>
          </w:p>
        </w:tc>
        <w:tc>
          <w:tcPr>
            <w:tcW w:w="1038" w:type="dxa"/>
            <w:vAlign w:val="center"/>
          </w:tcPr>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行政处罚决定书文号</w:t>
            </w:r>
          </w:p>
        </w:tc>
        <w:tc>
          <w:tcPr>
            <w:tcW w:w="1397" w:type="dxa"/>
            <w:vAlign w:val="center"/>
          </w:tcPr>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案件名称</w:t>
            </w:r>
          </w:p>
        </w:tc>
        <w:tc>
          <w:tcPr>
            <w:tcW w:w="850" w:type="dxa"/>
            <w:vAlign w:val="center"/>
          </w:tcPr>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违法企业证号</w:t>
            </w:r>
            <w:r>
              <w:rPr>
                <w:rFonts w:ascii="仿宋_GB2312" w:eastAsia="仿宋_GB2312"/>
                <w:b/>
                <w:spacing w:val="-20"/>
                <w:sz w:val="20"/>
                <w:szCs w:val="20"/>
              </w:rPr>
              <w:t>/</w:t>
            </w:r>
            <w:r>
              <w:rPr>
                <w:rFonts w:hint="eastAsia" w:ascii="仿宋_GB2312" w:eastAsia="仿宋_GB2312"/>
                <w:b/>
                <w:spacing w:val="-20"/>
                <w:sz w:val="20"/>
                <w:szCs w:val="20"/>
              </w:rPr>
              <w:t>代码</w:t>
            </w:r>
          </w:p>
        </w:tc>
        <w:tc>
          <w:tcPr>
            <w:tcW w:w="851" w:type="dxa"/>
            <w:vAlign w:val="center"/>
          </w:tcPr>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法定代表人</w:t>
            </w:r>
            <w:r>
              <w:rPr>
                <w:rFonts w:ascii="仿宋_GB2312" w:eastAsia="仿宋_GB2312"/>
                <w:b/>
                <w:spacing w:val="-20"/>
                <w:sz w:val="20"/>
                <w:szCs w:val="20"/>
              </w:rPr>
              <w:t xml:space="preserve">/ </w:t>
            </w:r>
            <w:r>
              <w:rPr>
                <w:rFonts w:hint="eastAsia" w:ascii="仿宋_GB2312" w:eastAsia="仿宋_GB2312"/>
                <w:b/>
                <w:spacing w:val="-20"/>
                <w:sz w:val="20"/>
                <w:szCs w:val="20"/>
              </w:rPr>
              <w:t>负责人姓名</w:t>
            </w:r>
          </w:p>
        </w:tc>
        <w:tc>
          <w:tcPr>
            <w:tcW w:w="1275" w:type="dxa"/>
            <w:vAlign w:val="center"/>
          </w:tcPr>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主要违法事实</w:t>
            </w:r>
          </w:p>
        </w:tc>
        <w:tc>
          <w:tcPr>
            <w:tcW w:w="872" w:type="dxa"/>
            <w:vAlign w:val="center"/>
          </w:tcPr>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案件</w:t>
            </w:r>
          </w:p>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来源</w:t>
            </w:r>
          </w:p>
        </w:tc>
        <w:tc>
          <w:tcPr>
            <w:tcW w:w="1134" w:type="dxa"/>
            <w:vAlign w:val="center"/>
          </w:tcPr>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立案时间</w:t>
            </w:r>
          </w:p>
        </w:tc>
        <w:tc>
          <w:tcPr>
            <w:tcW w:w="688" w:type="dxa"/>
            <w:vAlign w:val="center"/>
          </w:tcPr>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货值金额（元）</w:t>
            </w:r>
          </w:p>
        </w:tc>
        <w:tc>
          <w:tcPr>
            <w:tcW w:w="708" w:type="dxa"/>
            <w:vAlign w:val="center"/>
          </w:tcPr>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没收违法所得（元）</w:t>
            </w:r>
          </w:p>
        </w:tc>
        <w:tc>
          <w:tcPr>
            <w:tcW w:w="993" w:type="dxa"/>
            <w:vAlign w:val="center"/>
          </w:tcPr>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罚没款合计（元）</w:t>
            </w:r>
          </w:p>
        </w:tc>
        <w:tc>
          <w:tcPr>
            <w:tcW w:w="1842" w:type="dxa"/>
            <w:vAlign w:val="center"/>
          </w:tcPr>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行政处罚的种类和依据</w:t>
            </w:r>
          </w:p>
        </w:tc>
        <w:tc>
          <w:tcPr>
            <w:tcW w:w="1843" w:type="dxa"/>
            <w:vAlign w:val="center"/>
          </w:tcPr>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履行方式和期限</w:t>
            </w:r>
          </w:p>
        </w:tc>
        <w:tc>
          <w:tcPr>
            <w:tcW w:w="1134" w:type="dxa"/>
            <w:vAlign w:val="center"/>
          </w:tcPr>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作出处罚决定的行政执法机关名称和日期</w:t>
            </w:r>
          </w:p>
        </w:tc>
        <w:tc>
          <w:tcPr>
            <w:tcW w:w="567" w:type="dxa"/>
            <w:vAlign w:val="center"/>
          </w:tcPr>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案件类别</w:t>
            </w:r>
          </w:p>
        </w:tc>
        <w:tc>
          <w:tcPr>
            <w:tcW w:w="425" w:type="dxa"/>
            <w:vAlign w:val="center"/>
          </w:tcPr>
          <w:p>
            <w:pPr>
              <w:spacing w:line="260" w:lineRule="exact"/>
              <w:jc w:val="center"/>
              <w:rPr>
                <w:rFonts w:ascii="仿宋_GB2312" w:eastAsia="仿宋_GB2312"/>
                <w:b/>
                <w:spacing w:val="-20"/>
                <w:sz w:val="20"/>
                <w:szCs w:val="20"/>
              </w:rPr>
            </w:pPr>
            <w:r>
              <w:rPr>
                <w:rFonts w:hint="eastAsia" w:ascii="仿宋_GB2312" w:eastAsia="仿宋_GB2312"/>
                <w:b/>
                <w:spacing w:val="-2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3" w:hRule="atLeast"/>
        </w:trPr>
        <w:tc>
          <w:tcPr>
            <w:tcW w:w="346" w:type="dxa"/>
            <w:vAlign w:val="center"/>
          </w:tcPr>
          <w:p>
            <w:pPr>
              <w:jc w:val="center"/>
              <w:rPr>
                <w:rFonts w:ascii="仿宋_GB2312" w:eastAsia="仿宋_GB2312" w:cs="仿宋_GB2312"/>
                <w:spacing w:val="-20"/>
                <w:sz w:val="20"/>
                <w:szCs w:val="20"/>
              </w:rPr>
            </w:pPr>
            <w:r>
              <w:rPr>
                <w:rFonts w:hint="eastAsia" w:ascii="仿宋_GB2312" w:eastAsia="仿宋_GB2312" w:cs="仿宋_GB2312"/>
                <w:spacing w:val="-20"/>
                <w:sz w:val="20"/>
                <w:szCs w:val="20"/>
              </w:rPr>
              <w:t>1</w:t>
            </w:r>
          </w:p>
        </w:tc>
        <w:tc>
          <w:tcPr>
            <w:tcW w:w="1038" w:type="dxa"/>
            <w:vAlign w:val="center"/>
          </w:tcPr>
          <w:p>
            <w:pPr>
              <w:jc w:val="center"/>
              <w:rPr>
                <w:rFonts w:ascii="仿宋_GB2312" w:eastAsia="仿宋_GB2312" w:cs="仿宋_GB2312"/>
                <w:spacing w:val="-20"/>
                <w:sz w:val="20"/>
                <w:szCs w:val="20"/>
              </w:rPr>
            </w:pPr>
            <w:r>
              <w:rPr>
                <w:rFonts w:hint="eastAsia" w:ascii="仿宋_GB2312" w:eastAsia="仿宋_GB2312" w:cs="仿宋_GB2312"/>
                <w:spacing w:val="-20"/>
                <w:sz w:val="20"/>
                <w:szCs w:val="20"/>
              </w:rPr>
              <w:t>碑市监罚〔202</w:t>
            </w:r>
            <w:r>
              <w:rPr>
                <w:rFonts w:hint="eastAsia" w:ascii="仿宋_GB2312" w:eastAsia="仿宋_GB2312" w:cs="仿宋_GB2312"/>
                <w:spacing w:val="-20"/>
                <w:sz w:val="20"/>
                <w:szCs w:val="20"/>
                <w:lang w:val="en-US" w:eastAsia="zh-CN"/>
              </w:rPr>
              <w:t>3</w:t>
            </w:r>
            <w:r>
              <w:rPr>
                <w:rFonts w:hint="eastAsia" w:ascii="仿宋_GB2312" w:eastAsia="仿宋_GB2312" w:cs="仿宋_GB2312"/>
                <w:spacing w:val="-20"/>
                <w:sz w:val="20"/>
                <w:szCs w:val="20"/>
              </w:rPr>
              <w:t>〕0</w:t>
            </w:r>
            <w:r>
              <w:rPr>
                <w:rFonts w:hint="eastAsia" w:ascii="仿宋_GB2312" w:eastAsia="仿宋_GB2312" w:cs="仿宋_GB2312"/>
                <w:spacing w:val="-20"/>
                <w:sz w:val="20"/>
                <w:szCs w:val="20"/>
                <w:lang w:val="en-US" w:eastAsia="zh-CN"/>
              </w:rPr>
              <w:t>031</w:t>
            </w:r>
            <w:r>
              <w:rPr>
                <w:rFonts w:hint="eastAsia" w:ascii="仿宋_GB2312" w:eastAsia="仿宋_GB2312" w:cs="仿宋_GB2312"/>
                <w:spacing w:val="-20"/>
                <w:sz w:val="20"/>
                <w:szCs w:val="20"/>
              </w:rPr>
              <w:t>号</w:t>
            </w:r>
          </w:p>
        </w:tc>
        <w:tc>
          <w:tcPr>
            <w:tcW w:w="1397" w:type="dxa"/>
            <w:vAlign w:val="center"/>
          </w:tcPr>
          <w:p>
            <w:pPr>
              <w:jc w:val="center"/>
              <w:rPr>
                <w:rFonts w:ascii="仿宋_GB2312" w:eastAsia="仿宋_GB2312" w:cs="仿宋_GB2312"/>
                <w:spacing w:val="-20"/>
                <w:sz w:val="20"/>
                <w:szCs w:val="20"/>
              </w:rPr>
            </w:pPr>
            <w:r>
              <w:rPr>
                <w:rFonts w:hint="eastAsia" w:ascii="仿宋_GB2312" w:eastAsia="仿宋_GB2312" w:cs="仿宋_GB2312"/>
                <w:spacing w:val="-20"/>
                <w:sz w:val="20"/>
                <w:szCs w:val="20"/>
              </w:rPr>
              <w:t>吴渊(西安市碑林区吴渊生活超市)经营未经备案的化妆品和未按规定建立并执行化妆品进货查验记录制度案</w:t>
            </w:r>
          </w:p>
        </w:tc>
        <w:tc>
          <w:tcPr>
            <w:tcW w:w="850" w:type="dxa"/>
            <w:vAlign w:val="center"/>
          </w:tcPr>
          <w:p>
            <w:pPr>
              <w:jc w:val="center"/>
              <w:rPr>
                <w:rFonts w:ascii="仿宋_GB2312" w:hAnsi="宋体" w:eastAsia="仿宋_GB2312" w:cs="宋体"/>
                <w:sz w:val="20"/>
                <w:szCs w:val="20"/>
              </w:rPr>
            </w:pPr>
            <w:r>
              <w:rPr>
                <w:rFonts w:hint="eastAsia" w:ascii="仿宋_GB2312" w:hAnsi="宋体" w:eastAsia="仿宋_GB2312" w:cs="宋体"/>
                <w:sz w:val="20"/>
                <w:szCs w:val="20"/>
              </w:rPr>
              <w:t>9</w:t>
            </w:r>
            <w:r>
              <w:rPr>
                <w:rFonts w:hint="eastAsia" w:ascii="仿宋_GB2312" w:hAnsi="宋体" w:eastAsia="仿宋_GB2312" w:cs="宋体"/>
                <w:sz w:val="20"/>
                <w:szCs w:val="20"/>
                <w:lang w:val="en-US" w:eastAsia="zh-CN"/>
              </w:rPr>
              <w:t>2610103MAC36G3E17</w:t>
            </w:r>
          </w:p>
        </w:tc>
        <w:tc>
          <w:tcPr>
            <w:tcW w:w="851" w:type="dxa"/>
            <w:vAlign w:val="center"/>
          </w:tcPr>
          <w:p>
            <w:pPr>
              <w:jc w:val="center"/>
              <w:rPr>
                <w:rFonts w:hint="eastAsia" w:ascii="仿宋_GB2312" w:eastAsia="仿宋_GB2312" w:cs="仿宋_GB2312"/>
                <w:spacing w:val="-20"/>
                <w:sz w:val="20"/>
                <w:szCs w:val="20"/>
                <w:lang w:eastAsia="zh-CN"/>
              </w:rPr>
            </w:pPr>
            <w:r>
              <w:rPr>
                <w:rFonts w:hint="eastAsia" w:ascii="仿宋_GB2312" w:eastAsia="仿宋_GB2312" w:cs="仿宋_GB2312"/>
                <w:spacing w:val="-20"/>
                <w:sz w:val="20"/>
                <w:szCs w:val="20"/>
                <w:lang w:eastAsia="zh-CN"/>
              </w:rPr>
              <w:t>吴渊</w:t>
            </w:r>
          </w:p>
        </w:tc>
        <w:tc>
          <w:tcPr>
            <w:tcW w:w="1275" w:type="dxa"/>
            <w:vAlign w:val="center"/>
          </w:tcPr>
          <w:p>
            <w:pPr>
              <w:jc w:val="center"/>
              <w:rPr>
                <w:rFonts w:hint="eastAsia" w:ascii="仿宋_GB2312" w:eastAsia="仿宋_GB2312" w:cs="仿宋_GB2312"/>
                <w:spacing w:val="-20"/>
                <w:sz w:val="20"/>
                <w:szCs w:val="20"/>
                <w:lang w:eastAsia="zh-CN"/>
              </w:rPr>
            </w:pPr>
            <w:r>
              <w:rPr>
                <w:rFonts w:hint="eastAsia" w:ascii="仿宋_GB2312" w:eastAsia="仿宋_GB2312" w:cs="仿宋_GB2312"/>
                <w:spacing w:val="-20"/>
                <w:sz w:val="20"/>
                <w:szCs w:val="20"/>
                <w:lang w:eastAsia="zh-CN"/>
              </w:rPr>
              <w:t>经</w:t>
            </w:r>
            <w:r>
              <w:rPr>
                <w:rFonts w:hint="eastAsia" w:ascii="仿宋_GB2312" w:eastAsia="仿宋_GB2312" w:cs="仿宋_GB2312"/>
                <w:spacing w:val="-20"/>
                <w:sz w:val="20"/>
                <w:szCs w:val="20"/>
              </w:rPr>
              <w:t>营未经备案的化妆品和未按规定建立并执行化妆品进货查验记录制度</w:t>
            </w:r>
          </w:p>
        </w:tc>
        <w:tc>
          <w:tcPr>
            <w:tcW w:w="872" w:type="dxa"/>
            <w:vAlign w:val="center"/>
          </w:tcPr>
          <w:p>
            <w:pPr>
              <w:jc w:val="center"/>
              <w:rPr>
                <w:rFonts w:hint="eastAsia" w:ascii="仿宋_GB2312" w:eastAsia="仿宋_GB2312" w:cs="仿宋_GB2312"/>
                <w:spacing w:val="-20"/>
                <w:sz w:val="20"/>
                <w:szCs w:val="20"/>
                <w:lang w:eastAsia="zh-CN"/>
              </w:rPr>
            </w:pPr>
            <w:r>
              <w:rPr>
                <w:rFonts w:hint="eastAsia" w:ascii="仿宋_GB2312" w:eastAsia="仿宋_GB2312" w:cs="仿宋_GB2312"/>
                <w:spacing w:val="-20"/>
                <w:kern w:val="0"/>
                <w:sz w:val="20"/>
                <w:szCs w:val="20"/>
                <w:lang w:eastAsia="zh-CN"/>
              </w:rPr>
              <w:t>投诉举报</w:t>
            </w:r>
          </w:p>
        </w:tc>
        <w:tc>
          <w:tcPr>
            <w:tcW w:w="1134" w:type="dxa"/>
            <w:vAlign w:val="center"/>
          </w:tcPr>
          <w:p>
            <w:pPr>
              <w:jc w:val="center"/>
              <w:rPr>
                <w:rFonts w:hint="default" w:ascii="仿宋_GB2312" w:eastAsia="仿宋_GB2312" w:cs="仿宋_GB2312"/>
                <w:spacing w:val="-20"/>
                <w:sz w:val="20"/>
                <w:szCs w:val="20"/>
                <w:lang w:val="en-US"/>
              </w:rPr>
            </w:pPr>
            <w:r>
              <w:rPr>
                <w:rFonts w:hint="eastAsia" w:ascii="仿宋_GB2312" w:hAnsi="仿宋" w:eastAsia="仿宋_GB2312"/>
                <w:spacing w:val="-20"/>
                <w:sz w:val="20"/>
                <w:szCs w:val="20"/>
                <w:lang w:val="en-US" w:eastAsia="zh-CN"/>
              </w:rPr>
              <w:t>2023.4.17</w:t>
            </w:r>
          </w:p>
        </w:tc>
        <w:tc>
          <w:tcPr>
            <w:tcW w:w="688" w:type="dxa"/>
            <w:vAlign w:val="center"/>
          </w:tcPr>
          <w:p>
            <w:pPr>
              <w:jc w:val="center"/>
              <w:rPr>
                <w:rFonts w:hint="default" w:ascii="仿宋_GB2312" w:eastAsia="仿宋_GB2312" w:cs="仿宋_GB2312"/>
                <w:spacing w:val="-20"/>
                <w:sz w:val="20"/>
                <w:szCs w:val="20"/>
                <w:lang w:val="en-US" w:eastAsia="zh-CN"/>
              </w:rPr>
            </w:pPr>
            <w:r>
              <w:rPr>
                <w:rFonts w:hint="eastAsia" w:ascii="仿宋_GB2312" w:eastAsia="仿宋_GB2312" w:cs="仿宋_GB2312"/>
                <w:spacing w:val="-20"/>
                <w:sz w:val="20"/>
                <w:szCs w:val="20"/>
                <w:lang w:val="en-US" w:eastAsia="zh-CN"/>
              </w:rPr>
              <w:t>594</w:t>
            </w:r>
          </w:p>
        </w:tc>
        <w:tc>
          <w:tcPr>
            <w:tcW w:w="708" w:type="dxa"/>
            <w:vAlign w:val="center"/>
          </w:tcPr>
          <w:p>
            <w:pPr>
              <w:jc w:val="center"/>
              <w:rPr>
                <w:rFonts w:hint="default" w:ascii="仿宋_GB2312" w:eastAsia="仿宋_GB2312" w:cs="仿宋_GB2312"/>
                <w:spacing w:val="-20"/>
                <w:sz w:val="20"/>
                <w:szCs w:val="20"/>
                <w:lang w:val="en-US" w:eastAsia="zh-CN"/>
              </w:rPr>
            </w:pPr>
            <w:r>
              <w:rPr>
                <w:rFonts w:hint="eastAsia" w:ascii="仿宋_GB2312" w:eastAsia="仿宋_GB2312" w:cs="仿宋_GB2312"/>
                <w:spacing w:val="-20"/>
                <w:sz w:val="20"/>
                <w:szCs w:val="20"/>
                <w:lang w:val="en-US" w:eastAsia="zh-CN"/>
              </w:rPr>
              <w:t>594</w:t>
            </w:r>
          </w:p>
        </w:tc>
        <w:tc>
          <w:tcPr>
            <w:tcW w:w="993" w:type="dxa"/>
            <w:vAlign w:val="center"/>
          </w:tcPr>
          <w:p>
            <w:pPr>
              <w:jc w:val="center"/>
              <w:rPr>
                <w:rFonts w:hint="default" w:ascii="仿宋_GB2312" w:eastAsia="仿宋_GB2312" w:cs="仿宋_GB2312"/>
                <w:spacing w:val="-20"/>
                <w:sz w:val="20"/>
                <w:szCs w:val="20"/>
                <w:lang w:val="en-US" w:eastAsia="zh-CN"/>
              </w:rPr>
            </w:pPr>
            <w:r>
              <w:rPr>
                <w:rFonts w:hint="eastAsia" w:ascii="仿宋_GB2312" w:eastAsia="仿宋_GB2312" w:cs="仿宋_GB2312"/>
                <w:spacing w:val="-20"/>
                <w:sz w:val="20"/>
                <w:szCs w:val="20"/>
                <w:lang w:val="en-US" w:eastAsia="zh-CN"/>
              </w:rPr>
              <w:t>4594</w:t>
            </w:r>
          </w:p>
        </w:tc>
        <w:tc>
          <w:tcPr>
            <w:tcW w:w="1842" w:type="dxa"/>
            <w:vAlign w:val="center"/>
          </w:tcPr>
          <w:p>
            <w:pPr>
              <w:jc w:val="center"/>
              <w:rPr>
                <w:rFonts w:hint="eastAsia" w:ascii="仿宋_GB2312" w:eastAsia="仿宋_GB2312" w:cs="仿宋_GB2312"/>
                <w:spacing w:val="-20"/>
                <w:sz w:val="20"/>
                <w:szCs w:val="20"/>
                <w:lang w:val="en-US" w:eastAsia="zh-CN"/>
              </w:rPr>
            </w:pPr>
            <w:r>
              <w:rPr>
                <w:rFonts w:hint="eastAsia" w:ascii="仿宋_GB2312" w:eastAsia="仿宋_GB2312" w:cs="仿宋_GB2312"/>
                <w:spacing w:val="-20"/>
                <w:sz w:val="20"/>
                <w:szCs w:val="20"/>
                <w:lang w:val="en-US" w:eastAsia="zh-CN"/>
              </w:rPr>
              <w:t>警告；没收违法所得594元；罚款人民币4000元。</w:t>
            </w:r>
          </w:p>
          <w:p>
            <w:pPr>
              <w:jc w:val="center"/>
              <w:rPr>
                <w:rFonts w:hint="eastAsia" w:ascii="仿宋_GB2312" w:eastAsia="仿宋_GB2312" w:cs="仿宋_GB2312"/>
                <w:spacing w:val="-20"/>
                <w:sz w:val="20"/>
                <w:szCs w:val="20"/>
                <w:lang w:eastAsia="zh-CN"/>
              </w:rPr>
            </w:pPr>
            <w:r>
              <w:rPr>
                <w:rFonts w:hint="eastAsia" w:ascii="仿宋_GB2312" w:eastAsia="仿宋_GB2312" w:cs="仿宋_GB2312"/>
                <w:spacing w:val="-20"/>
                <w:sz w:val="20"/>
                <w:szCs w:val="20"/>
                <w:lang w:val="en-US" w:eastAsia="zh-CN"/>
              </w:rPr>
              <w:t>《化妆品监督管理条例》第十七条、第三十八条第一款；第六十一条第一款第（一）项、第六十二条第一款第（二）项</w:t>
            </w:r>
          </w:p>
        </w:tc>
        <w:tc>
          <w:tcPr>
            <w:tcW w:w="1843" w:type="dxa"/>
            <w:vAlign w:val="center"/>
          </w:tcPr>
          <w:p>
            <w:pPr>
              <w:jc w:val="center"/>
              <w:rPr>
                <w:rFonts w:hint="eastAsia" w:ascii="仿宋_GB2312" w:eastAsia="仿宋_GB2312" w:cs="仿宋_GB2312"/>
                <w:spacing w:val="-20"/>
                <w:sz w:val="20"/>
                <w:szCs w:val="20"/>
                <w:lang w:eastAsia="zh-CN"/>
              </w:rPr>
            </w:pPr>
            <w:r>
              <w:rPr>
                <w:rFonts w:hint="eastAsia" w:ascii="仿宋_GB2312" w:eastAsia="仿宋_GB2312" w:cs="仿宋_GB2312"/>
                <w:spacing w:val="-20"/>
                <w:kern w:val="0"/>
                <w:sz w:val="20"/>
                <w:szCs w:val="20"/>
              </w:rPr>
              <w:t>应在接到行政处罚决定书之日起15日内将罚没款缴纳至工商银行东大街</w:t>
            </w:r>
            <w:r>
              <w:rPr>
                <w:rFonts w:hint="eastAsia" w:ascii="仿宋_GB2312" w:eastAsia="仿宋_GB2312" w:cs="仿宋_GB2312"/>
                <w:spacing w:val="-20"/>
                <w:kern w:val="0"/>
                <w:sz w:val="20"/>
                <w:szCs w:val="20"/>
                <w:lang w:eastAsia="zh-CN"/>
              </w:rPr>
              <w:t>支行</w:t>
            </w:r>
          </w:p>
        </w:tc>
        <w:tc>
          <w:tcPr>
            <w:tcW w:w="1134" w:type="dxa"/>
            <w:vAlign w:val="center"/>
          </w:tcPr>
          <w:p>
            <w:pPr>
              <w:jc w:val="center"/>
              <w:rPr>
                <w:rFonts w:hint="default" w:ascii="仿宋_GB2312" w:eastAsia="仿宋_GB2312" w:cs="仿宋_GB2312"/>
                <w:spacing w:val="-20"/>
                <w:sz w:val="20"/>
                <w:szCs w:val="20"/>
                <w:lang w:val="en-US" w:eastAsia="zh-CN"/>
              </w:rPr>
            </w:pPr>
            <w:r>
              <w:rPr>
                <w:rFonts w:hint="eastAsia" w:ascii="仿宋_GB2312" w:eastAsia="仿宋_GB2312" w:cs="仿宋_GB2312"/>
                <w:spacing w:val="-20"/>
                <w:kern w:val="0"/>
                <w:sz w:val="20"/>
                <w:szCs w:val="20"/>
              </w:rPr>
              <w:t>西安市碑林区市场监督管理局，</w:t>
            </w:r>
            <w:r>
              <w:rPr>
                <w:rFonts w:hint="eastAsia" w:ascii="仿宋_GB2312" w:hAnsi="仿宋" w:eastAsia="仿宋_GB2312"/>
                <w:spacing w:val="-20"/>
                <w:sz w:val="20"/>
                <w:szCs w:val="20"/>
                <w:lang w:val="en-US" w:eastAsia="zh-CN"/>
              </w:rPr>
              <w:t>2023.6.5</w:t>
            </w:r>
          </w:p>
        </w:tc>
        <w:tc>
          <w:tcPr>
            <w:tcW w:w="567" w:type="dxa"/>
            <w:vAlign w:val="center"/>
          </w:tcPr>
          <w:p>
            <w:pPr>
              <w:jc w:val="center"/>
              <w:rPr>
                <w:rFonts w:ascii="仿宋_GB2312" w:eastAsia="仿宋_GB2312"/>
                <w:spacing w:val="-20"/>
                <w:sz w:val="20"/>
                <w:szCs w:val="20"/>
              </w:rPr>
            </w:pPr>
            <w:r>
              <w:rPr>
                <w:rFonts w:hint="eastAsia" w:ascii="仿宋_GB2312" w:eastAsia="仿宋_GB2312" w:cs="仿宋_GB2312"/>
                <w:spacing w:val="-20"/>
                <w:kern w:val="0"/>
                <w:sz w:val="20"/>
                <w:szCs w:val="20"/>
                <w:lang w:eastAsia="zh-CN"/>
              </w:rPr>
              <w:t>化妆品</w:t>
            </w:r>
            <w:r>
              <w:rPr>
                <w:rFonts w:hint="eastAsia" w:ascii="仿宋_GB2312" w:eastAsia="仿宋_GB2312" w:cs="仿宋_GB2312"/>
                <w:spacing w:val="-20"/>
                <w:kern w:val="0"/>
                <w:sz w:val="20"/>
                <w:szCs w:val="20"/>
              </w:rPr>
              <w:t>类</w:t>
            </w:r>
          </w:p>
        </w:tc>
        <w:tc>
          <w:tcPr>
            <w:tcW w:w="425" w:type="dxa"/>
            <w:vAlign w:val="center"/>
          </w:tcPr>
          <w:p>
            <w:pPr>
              <w:jc w:val="center"/>
              <w:rPr>
                <w:rFonts w:ascii="仿宋_GB2312" w:eastAsia="仿宋_GB2312"/>
                <w:spacing w:val="-20"/>
                <w:sz w:val="20"/>
                <w:szCs w:val="20"/>
              </w:rPr>
            </w:pPr>
          </w:p>
        </w:tc>
      </w:tr>
    </w:tbl>
    <w:p>
      <w:pPr>
        <w:spacing w:line="300" w:lineRule="exact"/>
        <w:jc w:val="center"/>
        <w:rPr>
          <w:rFonts w:ascii="仿宋_GB2312" w:hAnsi="仿宋" w:eastAsia="仿宋_GB2312"/>
          <w:spacing w:val="-20"/>
          <w:szCs w:val="21"/>
        </w:rPr>
      </w:pPr>
    </w:p>
    <w:p>
      <w:pPr>
        <w:spacing w:line="300" w:lineRule="exact"/>
        <w:jc w:val="center"/>
        <w:rPr>
          <w:rFonts w:ascii="仿宋_GB2312" w:hAnsi="仿宋" w:eastAsia="仿宋_GB2312"/>
          <w:spacing w:val="-20"/>
          <w:szCs w:val="21"/>
        </w:rPr>
      </w:pPr>
    </w:p>
    <w:p>
      <w:pPr>
        <w:rPr>
          <w:szCs w:val="21"/>
        </w:rPr>
      </w:pPr>
    </w:p>
    <w:p>
      <w:pPr>
        <w:widowControl/>
        <w:jc w:val="left"/>
        <w:rPr>
          <w:szCs w:val="21"/>
        </w:rPr>
      </w:pPr>
      <w:r>
        <w:rPr>
          <w:szCs w:val="21"/>
        </w:rPr>
        <w:br w:type="page"/>
      </w:r>
    </w:p>
    <w:p>
      <w:pPr>
        <w:rPr>
          <w:szCs w:val="21"/>
        </w:rPr>
        <w:sectPr>
          <w:footerReference r:id="rId3" w:type="default"/>
          <w:pgSz w:w="16838" w:h="11906" w:orient="landscape"/>
          <w:pgMar w:top="1560" w:right="395" w:bottom="1797" w:left="1440" w:header="851" w:footer="992" w:gutter="0"/>
          <w:cols w:space="425" w:num="1"/>
          <w:docGrid w:type="lines" w:linePitch="312" w:charSpace="0"/>
        </w:sectPr>
      </w:pPr>
    </w:p>
    <w:p>
      <w:pPr>
        <w:jc w:val="center"/>
        <w:rPr>
          <w:rFonts w:hint="eastAsia" w:eastAsia="宋体"/>
          <w:szCs w:val="21"/>
          <w:lang w:eastAsia="zh-CN"/>
        </w:rPr>
      </w:pPr>
      <w:r>
        <w:rPr>
          <w:rFonts w:hint="eastAsia" w:eastAsia="宋体"/>
          <w:szCs w:val="21"/>
          <w:lang w:eastAsia="zh-CN"/>
        </w:rPr>
        <w:drawing>
          <wp:inline distT="0" distB="0" distL="114300" distR="114300">
            <wp:extent cx="5535295" cy="8634730"/>
            <wp:effectExtent l="0" t="0" r="8255" b="13970"/>
            <wp:docPr id="5" name="图片 5" descr="H:\2023年工作\信息公开\1 [2023]0031号\1.jp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H:\2023年工作\信息公开\1 [2023]0031号\1.jpg1"/>
                    <pic:cNvPicPr>
                      <a:picLocks noChangeAspect="1"/>
                    </pic:cNvPicPr>
                  </pic:nvPicPr>
                  <pic:blipFill>
                    <a:blip r:embed="rId5"/>
                    <a:srcRect/>
                    <a:stretch>
                      <a:fillRect/>
                    </a:stretch>
                  </pic:blipFill>
                  <pic:spPr>
                    <a:xfrm>
                      <a:off x="0" y="0"/>
                      <a:ext cx="5535295" cy="8634730"/>
                    </a:xfrm>
                    <a:prstGeom prst="rect">
                      <a:avLst/>
                    </a:prstGeom>
                  </pic:spPr>
                </pic:pic>
              </a:graphicData>
            </a:graphic>
          </wp:inline>
        </w:drawing>
      </w:r>
    </w:p>
    <w:p>
      <w:pPr>
        <w:jc w:val="center"/>
        <w:rPr>
          <w:rFonts w:hint="eastAsia" w:eastAsia="宋体"/>
          <w:szCs w:val="21"/>
          <w:lang w:eastAsia="zh-CN"/>
        </w:rPr>
      </w:pPr>
      <w:r>
        <w:rPr>
          <w:rFonts w:hint="eastAsia" w:eastAsia="宋体"/>
          <w:szCs w:val="21"/>
          <w:lang w:eastAsia="zh-CN"/>
        </w:rPr>
        <w:drawing>
          <wp:inline distT="0" distB="0" distL="114300" distR="114300">
            <wp:extent cx="5535295" cy="8634730"/>
            <wp:effectExtent l="0" t="0" r="8255" b="13970"/>
            <wp:docPr id="6" name="图片 6" descr="H:\2023年工作\信息公开\1 [2023]0031号\2.jp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H:\2023年工作\信息公开\1 [2023]0031号\2.jpg2"/>
                    <pic:cNvPicPr>
                      <a:picLocks noChangeAspect="1"/>
                    </pic:cNvPicPr>
                  </pic:nvPicPr>
                  <pic:blipFill>
                    <a:blip r:embed="rId6"/>
                    <a:srcRect/>
                    <a:stretch>
                      <a:fillRect/>
                    </a:stretch>
                  </pic:blipFill>
                  <pic:spPr>
                    <a:xfrm>
                      <a:off x="0" y="0"/>
                      <a:ext cx="5535295" cy="8634730"/>
                    </a:xfrm>
                    <a:prstGeom prst="rect">
                      <a:avLst/>
                    </a:prstGeom>
                  </pic:spPr>
                </pic:pic>
              </a:graphicData>
            </a:graphic>
          </wp:inline>
        </w:drawing>
      </w:r>
    </w:p>
    <w:p>
      <w:pPr>
        <w:jc w:val="center"/>
        <w:rPr>
          <w:rFonts w:hint="eastAsia" w:eastAsia="宋体"/>
          <w:szCs w:val="21"/>
          <w:lang w:eastAsia="zh-CN"/>
        </w:rPr>
      </w:pPr>
      <w:r>
        <w:rPr>
          <w:rFonts w:hint="eastAsia" w:eastAsia="宋体"/>
          <w:szCs w:val="21"/>
          <w:lang w:eastAsia="zh-CN"/>
        </w:rPr>
        <w:drawing>
          <wp:inline distT="0" distB="0" distL="114300" distR="114300">
            <wp:extent cx="5535295" cy="8615045"/>
            <wp:effectExtent l="0" t="0" r="8255" b="14605"/>
            <wp:docPr id="7" name="图片 7" descr="H:\2023年工作\信息公开\1 [2023]0031号\3.jp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H:\2023年工作\信息公开\1 [2023]0031号\3.jpg3"/>
                    <pic:cNvPicPr>
                      <a:picLocks noChangeAspect="1"/>
                    </pic:cNvPicPr>
                  </pic:nvPicPr>
                  <pic:blipFill>
                    <a:blip r:embed="rId7"/>
                    <a:srcRect/>
                    <a:stretch>
                      <a:fillRect/>
                    </a:stretch>
                  </pic:blipFill>
                  <pic:spPr>
                    <a:xfrm>
                      <a:off x="0" y="0"/>
                      <a:ext cx="5535295" cy="8615045"/>
                    </a:xfrm>
                    <a:prstGeom prst="rect">
                      <a:avLst/>
                    </a:prstGeom>
                  </pic:spPr>
                </pic:pic>
              </a:graphicData>
            </a:graphic>
          </wp:inline>
        </w:drawing>
      </w:r>
    </w:p>
    <w:p>
      <w:pPr>
        <w:jc w:val="center"/>
        <w:rPr>
          <w:szCs w:val="21"/>
        </w:rPr>
      </w:pPr>
      <w:r>
        <w:rPr>
          <w:szCs w:val="21"/>
        </w:rPr>
        <w:drawing>
          <wp:inline distT="0" distB="0" distL="0" distR="0">
            <wp:extent cx="5543550" cy="8616950"/>
            <wp:effectExtent l="0" t="0" r="0" b="12700"/>
            <wp:docPr id="4" name="图片 3" descr="H:\2023年工作\信息公开\1 [2023]0031号\4.jp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H:\2023年工作\信息公开\1 [2023]0031号\4.jpg4"/>
                    <pic:cNvPicPr>
                      <a:picLocks noChangeAspect="1"/>
                    </pic:cNvPicPr>
                  </pic:nvPicPr>
                  <pic:blipFill>
                    <a:blip r:embed="rId8"/>
                    <a:srcRect/>
                    <a:stretch>
                      <a:fillRect/>
                    </a:stretch>
                  </pic:blipFill>
                  <pic:spPr>
                    <a:xfrm>
                      <a:off x="0" y="0"/>
                      <a:ext cx="5543550" cy="8616950"/>
                    </a:xfrm>
                    <a:prstGeom prst="rect">
                      <a:avLst/>
                    </a:prstGeom>
                  </pic:spPr>
                </pic:pic>
              </a:graphicData>
            </a:graphic>
          </wp:inline>
        </w:drawing>
      </w:r>
    </w:p>
    <w:p>
      <w:pPr>
        <w:jc w:val="center"/>
        <w:rPr>
          <w:rFonts w:hint="eastAsia" w:eastAsia="宋体"/>
          <w:szCs w:val="21"/>
          <w:lang w:eastAsia="zh-CN"/>
        </w:rPr>
      </w:pPr>
      <w:bookmarkStart w:id="0" w:name="_GoBack"/>
      <w:r>
        <w:rPr>
          <w:rFonts w:hint="eastAsia" w:eastAsia="宋体"/>
          <w:szCs w:val="21"/>
          <w:lang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18415</wp:posOffset>
            </wp:positionV>
            <wp:extent cx="5535295" cy="8653780"/>
            <wp:effectExtent l="0" t="0" r="8255" b="13970"/>
            <wp:wrapNone/>
            <wp:docPr id="8" name="图片 8" descr="H:\2023年工作\信息公开\1 [2023]0031号\5.jpg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H:\2023年工作\信息公开\1 [2023]0031号\5.jpg5"/>
                    <pic:cNvPicPr>
                      <a:picLocks noChangeAspect="1"/>
                    </pic:cNvPicPr>
                  </pic:nvPicPr>
                  <pic:blipFill>
                    <a:blip r:embed="rId9"/>
                    <a:srcRect/>
                    <a:stretch>
                      <a:fillRect/>
                    </a:stretch>
                  </pic:blipFill>
                  <pic:spPr>
                    <a:xfrm>
                      <a:off x="0" y="0"/>
                      <a:ext cx="5535295" cy="8653780"/>
                    </a:xfrm>
                    <a:prstGeom prst="rect">
                      <a:avLst/>
                    </a:prstGeom>
                  </pic:spPr>
                </pic:pic>
              </a:graphicData>
            </a:graphic>
          </wp:anchor>
        </w:drawing>
      </w:r>
      <w:bookmarkEnd w:id="0"/>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p>
      <w:pPr>
        <w:jc w:val="center"/>
        <w:rPr>
          <w:rFonts w:hint="eastAsia" w:eastAsia="宋体"/>
          <w:szCs w:val="21"/>
          <w:lang w:eastAsia="zh-CN"/>
        </w:rPr>
      </w:pPr>
    </w:p>
    <w:sectPr>
      <w:pgSz w:w="11906" w:h="16838"/>
      <w:pgMar w:top="1531" w:right="1588" w:bottom="1531"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w:t>
    </w:r>
    <w:r>
      <w:rPr>
        <w:lang w:val="zh-CN"/>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mU5NGQ3ZTI3MTRhNzJlM2MwZjE5ZTg0NTM2YTM5Y2YifQ=="/>
  </w:docVars>
  <w:rsids>
    <w:rsidRoot w:val="00FD1E7B"/>
    <w:rsid w:val="00000EB4"/>
    <w:rsid w:val="00003E50"/>
    <w:rsid w:val="00011289"/>
    <w:rsid w:val="00032654"/>
    <w:rsid w:val="00033884"/>
    <w:rsid w:val="00040EB6"/>
    <w:rsid w:val="00054EA0"/>
    <w:rsid w:val="00061293"/>
    <w:rsid w:val="00063780"/>
    <w:rsid w:val="00065391"/>
    <w:rsid w:val="0006625B"/>
    <w:rsid w:val="000666A8"/>
    <w:rsid w:val="00097322"/>
    <w:rsid w:val="000A24B9"/>
    <w:rsid w:val="000C1963"/>
    <w:rsid w:val="000C4D72"/>
    <w:rsid w:val="000D33C2"/>
    <w:rsid w:val="000D5F78"/>
    <w:rsid w:val="000D676C"/>
    <w:rsid w:val="00103972"/>
    <w:rsid w:val="00110B97"/>
    <w:rsid w:val="001261B3"/>
    <w:rsid w:val="00126262"/>
    <w:rsid w:val="001263F4"/>
    <w:rsid w:val="00127BCC"/>
    <w:rsid w:val="0013497A"/>
    <w:rsid w:val="001367EB"/>
    <w:rsid w:val="00144982"/>
    <w:rsid w:val="00150E83"/>
    <w:rsid w:val="00157F9E"/>
    <w:rsid w:val="0017046F"/>
    <w:rsid w:val="001729B3"/>
    <w:rsid w:val="00173B07"/>
    <w:rsid w:val="00181651"/>
    <w:rsid w:val="001826A7"/>
    <w:rsid w:val="0018360C"/>
    <w:rsid w:val="00185DF8"/>
    <w:rsid w:val="00186CDA"/>
    <w:rsid w:val="00191710"/>
    <w:rsid w:val="00193A89"/>
    <w:rsid w:val="001A365A"/>
    <w:rsid w:val="001A375B"/>
    <w:rsid w:val="001B052E"/>
    <w:rsid w:val="001B1124"/>
    <w:rsid w:val="001D1851"/>
    <w:rsid w:val="001D20F9"/>
    <w:rsid w:val="001D40CF"/>
    <w:rsid w:val="001D4E98"/>
    <w:rsid w:val="001E50BE"/>
    <w:rsid w:val="001E576E"/>
    <w:rsid w:val="001F635D"/>
    <w:rsid w:val="001F6575"/>
    <w:rsid w:val="00215940"/>
    <w:rsid w:val="00217313"/>
    <w:rsid w:val="002227CB"/>
    <w:rsid w:val="00237B29"/>
    <w:rsid w:val="00240D1A"/>
    <w:rsid w:val="00244EB9"/>
    <w:rsid w:val="00252685"/>
    <w:rsid w:val="00253F3D"/>
    <w:rsid w:val="002565F1"/>
    <w:rsid w:val="002700A5"/>
    <w:rsid w:val="002701B6"/>
    <w:rsid w:val="00273681"/>
    <w:rsid w:val="00290325"/>
    <w:rsid w:val="002A145F"/>
    <w:rsid w:val="002B038F"/>
    <w:rsid w:val="002D2E1F"/>
    <w:rsid w:val="002D434B"/>
    <w:rsid w:val="002D43F4"/>
    <w:rsid w:val="002D69C8"/>
    <w:rsid w:val="002D6C3C"/>
    <w:rsid w:val="003069CC"/>
    <w:rsid w:val="00307254"/>
    <w:rsid w:val="00313587"/>
    <w:rsid w:val="003139F7"/>
    <w:rsid w:val="00316F73"/>
    <w:rsid w:val="0032241F"/>
    <w:rsid w:val="00333D97"/>
    <w:rsid w:val="003374CC"/>
    <w:rsid w:val="00341825"/>
    <w:rsid w:val="00343D7E"/>
    <w:rsid w:val="0034464B"/>
    <w:rsid w:val="0035443F"/>
    <w:rsid w:val="0035630D"/>
    <w:rsid w:val="0035698E"/>
    <w:rsid w:val="00357896"/>
    <w:rsid w:val="0036109C"/>
    <w:rsid w:val="00364176"/>
    <w:rsid w:val="00366521"/>
    <w:rsid w:val="003710F6"/>
    <w:rsid w:val="00372A49"/>
    <w:rsid w:val="003776F8"/>
    <w:rsid w:val="00383D02"/>
    <w:rsid w:val="003934B1"/>
    <w:rsid w:val="003C4625"/>
    <w:rsid w:val="003D10FD"/>
    <w:rsid w:val="003D477C"/>
    <w:rsid w:val="003D56E0"/>
    <w:rsid w:val="003D7C4D"/>
    <w:rsid w:val="003E21E2"/>
    <w:rsid w:val="003E327B"/>
    <w:rsid w:val="003F0945"/>
    <w:rsid w:val="003F7494"/>
    <w:rsid w:val="0040236D"/>
    <w:rsid w:val="00404B28"/>
    <w:rsid w:val="00407B84"/>
    <w:rsid w:val="00412000"/>
    <w:rsid w:val="0042176D"/>
    <w:rsid w:val="0042488A"/>
    <w:rsid w:val="004253AF"/>
    <w:rsid w:val="00425FEC"/>
    <w:rsid w:val="00426259"/>
    <w:rsid w:val="00427556"/>
    <w:rsid w:val="004279B5"/>
    <w:rsid w:val="00427E9F"/>
    <w:rsid w:val="004303A4"/>
    <w:rsid w:val="00431487"/>
    <w:rsid w:val="004342CF"/>
    <w:rsid w:val="0045109B"/>
    <w:rsid w:val="00452C98"/>
    <w:rsid w:val="00452EC3"/>
    <w:rsid w:val="00454CF9"/>
    <w:rsid w:val="00455B86"/>
    <w:rsid w:val="00464B10"/>
    <w:rsid w:val="00476B09"/>
    <w:rsid w:val="00484B79"/>
    <w:rsid w:val="00491BE6"/>
    <w:rsid w:val="0049259D"/>
    <w:rsid w:val="00495951"/>
    <w:rsid w:val="00497637"/>
    <w:rsid w:val="00497FF6"/>
    <w:rsid w:val="004A3757"/>
    <w:rsid w:val="004C5A97"/>
    <w:rsid w:val="004D0652"/>
    <w:rsid w:val="004E2493"/>
    <w:rsid w:val="004F064C"/>
    <w:rsid w:val="00502831"/>
    <w:rsid w:val="005031BE"/>
    <w:rsid w:val="005048A9"/>
    <w:rsid w:val="00505466"/>
    <w:rsid w:val="00521D43"/>
    <w:rsid w:val="00527796"/>
    <w:rsid w:val="00530F1C"/>
    <w:rsid w:val="00532B0B"/>
    <w:rsid w:val="005443EC"/>
    <w:rsid w:val="00547ABA"/>
    <w:rsid w:val="0055231B"/>
    <w:rsid w:val="0055518B"/>
    <w:rsid w:val="005559A5"/>
    <w:rsid w:val="005702F1"/>
    <w:rsid w:val="005745D7"/>
    <w:rsid w:val="00575121"/>
    <w:rsid w:val="00580F9C"/>
    <w:rsid w:val="005857A5"/>
    <w:rsid w:val="00593BDB"/>
    <w:rsid w:val="005A1CE7"/>
    <w:rsid w:val="005B316A"/>
    <w:rsid w:val="005B3674"/>
    <w:rsid w:val="005C1D01"/>
    <w:rsid w:val="005C1DD1"/>
    <w:rsid w:val="005C216C"/>
    <w:rsid w:val="005D3069"/>
    <w:rsid w:val="005D6D40"/>
    <w:rsid w:val="0060069B"/>
    <w:rsid w:val="0060128F"/>
    <w:rsid w:val="00602484"/>
    <w:rsid w:val="006029C0"/>
    <w:rsid w:val="00645928"/>
    <w:rsid w:val="0065281F"/>
    <w:rsid w:val="00654AEA"/>
    <w:rsid w:val="006552A9"/>
    <w:rsid w:val="00655B3D"/>
    <w:rsid w:val="00655D53"/>
    <w:rsid w:val="00667F62"/>
    <w:rsid w:val="006712B2"/>
    <w:rsid w:val="0067301E"/>
    <w:rsid w:val="0069170B"/>
    <w:rsid w:val="006A06BA"/>
    <w:rsid w:val="006A4D3A"/>
    <w:rsid w:val="006B34D8"/>
    <w:rsid w:val="006C6F38"/>
    <w:rsid w:val="006D3E2D"/>
    <w:rsid w:val="006D5E01"/>
    <w:rsid w:val="007047DD"/>
    <w:rsid w:val="00706B44"/>
    <w:rsid w:val="007130B3"/>
    <w:rsid w:val="00722699"/>
    <w:rsid w:val="00727454"/>
    <w:rsid w:val="007313D2"/>
    <w:rsid w:val="007367E4"/>
    <w:rsid w:val="00742FC4"/>
    <w:rsid w:val="007457D7"/>
    <w:rsid w:val="0075159B"/>
    <w:rsid w:val="00756528"/>
    <w:rsid w:val="007677A6"/>
    <w:rsid w:val="00767E34"/>
    <w:rsid w:val="00770B95"/>
    <w:rsid w:val="00773486"/>
    <w:rsid w:val="00783B53"/>
    <w:rsid w:val="00784820"/>
    <w:rsid w:val="00793291"/>
    <w:rsid w:val="007939F5"/>
    <w:rsid w:val="007A65AE"/>
    <w:rsid w:val="007A73A2"/>
    <w:rsid w:val="007C40ED"/>
    <w:rsid w:val="007D1DF8"/>
    <w:rsid w:val="007D3BBA"/>
    <w:rsid w:val="007E660E"/>
    <w:rsid w:val="007F0573"/>
    <w:rsid w:val="00821E2A"/>
    <w:rsid w:val="008270B5"/>
    <w:rsid w:val="00834247"/>
    <w:rsid w:val="00835859"/>
    <w:rsid w:val="00835F77"/>
    <w:rsid w:val="00844F5A"/>
    <w:rsid w:val="00847825"/>
    <w:rsid w:val="00861617"/>
    <w:rsid w:val="008701C5"/>
    <w:rsid w:val="00873E98"/>
    <w:rsid w:val="008829FE"/>
    <w:rsid w:val="008875F5"/>
    <w:rsid w:val="00890113"/>
    <w:rsid w:val="008A6326"/>
    <w:rsid w:val="008B1F3D"/>
    <w:rsid w:val="008B3712"/>
    <w:rsid w:val="008B68EA"/>
    <w:rsid w:val="008C4571"/>
    <w:rsid w:val="008C6D58"/>
    <w:rsid w:val="008D011C"/>
    <w:rsid w:val="008D279A"/>
    <w:rsid w:val="008D78BF"/>
    <w:rsid w:val="008F1151"/>
    <w:rsid w:val="00921714"/>
    <w:rsid w:val="00922E7B"/>
    <w:rsid w:val="00924792"/>
    <w:rsid w:val="00942613"/>
    <w:rsid w:val="009542FE"/>
    <w:rsid w:val="00966A18"/>
    <w:rsid w:val="009716F9"/>
    <w:rsid w:val="00973B57"/>
    <w:rsid w:val="0099499B"/>
    <w:rsid w:val="009A170C"/>
    <w:rsid w:val="009A5535"/>
    <w:rsid w:val="009B790C"/>
    <w:rsid w:val="009C2B45"/>
    <w:rsid w:val="009D130C"/>
    <w:rsid w:val="009D3FC7"/>
    <w:rsid w:val="009D3FCD"/>
    <w:rsid w:val="009E33F7"/>
    <w:rsid w:val="009F0C62"/>
    <w:rsid w:val="009F363F"/>
    <w:rsid w:val="009F40A3"/>
    <w:rsid w:val="00A00077"/>
    <w:rsid w:val="00A011FD"/>
    <w:rsid w:val="00A0590C"/>
    <w:rsid w:val="00A07ABD"/>
    <w:rsid w:val="00A130B6"/>
    <w:rsid w:val="00A13B77"/>
    <w:rsid w:val="00A33131"/>
    <w:rsid w:val="00A3579B"/>
    <w:rsid w:val="00A53EDD"/>
    <w:rsid w:val="00A654DB"/>
    <w:rsid w:val="00A65CE7"/>
    <w:rsid w:val="00A72331"/>
    <w:rsid w:val="00A81BA7"/>
    <w:rsid w:val="00A86B78"/>
    <w:rsid w:val="00A96484"/>
    <w:rsid w:val="00AA0CBF"/>
    <w:rsid w:val="00AA6A64"/>
    <w:rsid w:val="00AA6EE3"/>
    <w:rsid w:val="00AB62CB"/>
    <w:rsid w:val="00AC17E2"/>
    <w:rsid w:val="00AD055B"/>
    <w:rsid w:val="00AD148A"/>
    <w:rsid w:val="00AD37A1"/>
    <w:rsid w:val="00AE0968"/>
    <w:rsid w:val="00AE5324"/>
    <w:rsid w:val="00AF5C4E"/>
    <w:rsid w:val="00B05AA9"/>
    <w:rsid w:val="00B14BB5"/>
    <w:rsid w:val="00B16F21"/>
    <w:rsid w:val="00B24F0C"/>
    <w:rsid w:val="00B33DBC"/>
    <w:rsid w:val="00B41063"/>
    <w:rsid w:val="00B4477A"/>
    <w:rsid w:val="00B50EA5"/>
    <w:rsid w:val="00B52726"/>
    <w:rsid w:val="00B65D89"/>
    <w:rsid w:val="00B76F18"/>
    <w:rsid w:val="00B83822"/>
    <w:rsid w:val="00B87D18"/>
    <w:rsid w:val="00B91D27"/>
    <w:rsid w:val="00BA6A54"/>
    <w:rsid w:val="00BB0271"/>
    <w:rsid w:val="00BB6A9B"/>
    <w:rsid w:val="00BC438D"/>
    <w:rsid w:val="00BE42E3"/>
    <w:rsid w:val="00BF425E"/>
    <w:rsid w:val="00C10A67"/>
    <w:rsid w:val="00C3015B"/>
    <w:rsid w:val="00C447BD"/>
    <w:rsid w:val="00C55C30"/>
    <w:rsid w:val="00C56DD2"/>
    <w:rsid w:val="00C62BC6"/>
    <w:rsid w:val="00C64A70"/>
    <w:rsid w:val="00C74660"/>
    <w:rsid w:val="00C7717B"/>
    <w:rsid w:val="00CA4FF8"/>
    <w:rsid w:val="00CA5A2F"/>
    <w:rsid w:val="00CB5008"/>
    <w:rsid w:val="00CC14F4"/>
    <w:rsid w:val="00CD4D03"/>
    <w:rsid w:val="00CE2BB4"/>
    <w:rsid w:val="00CF5D7F"/>
    <w:rsid w:val="00D0177C"/>
    <w:rsid w:val="00D07EC3"/>
    <w:rsid w:val="00D11152"/>
    <w:rsid w:val="00D1349E"/>
    <w:rsid w:val="00D145C0"/>
    <w:rsid w:val="00D33A55"/>
    <w:rsid w:val="00D35B17"/>
    <w:rsid w:val="00D42D45"/>
    <w:rsid w:val="00D434D3"/>
    <w:rsid w:val="00D462D8"/>
    <w:rsid w:val="00D5458F"/>
    <w:rsid w:val="00D76634"/>
    <w:rsid w:val="00D81762"/>
    <w:rsid w:val="00D842F9"/>
    <w:rsid w:val="00D85657"/>
    <w:rsid w:val="00D9520F"/>
    <w:rsid w:val="00DB5282"/>
    <w:rsid w:val="00DC2A16"/>
    <w:rsid w:val="00DC4BA2"/>
    <w:rsid w:val="00DD5F77"/>
    <w:rsid w:val="00DE705D"/>
    <w:rsid w:val="00E02CD5"/>
    <w:rsid w:val="00E06F47"/>
    <w:rsid w:val="00E10BD3"/>
    <w:rsid w:val="00E1742F"/>
    <w:rsid w:val="00E23051"/>
    <w:rsid w:val="00E3106A"/>
    <w:rsid w:val="00E359F4"/>
    <w:rsid w:val="00E514E6"/>
    <w:rsid w:val="00E55210"/>
    <w:rsid w:val="00E60971"/>
    <w:rsid w:val="00E619A8"/>
    <w:rsid w:val="00E66265"/>
    <w:rsid w:val="00E719C3"/>
    <w:rsid w:val="00E725DA"/>
    <w:rsid w:val="00E7306A"/>
    <w:rsid w:val="00E93187"/>
    <w:rsid w:val="00E96FBA"/>
    <w:rsid w:val="00EA605D"/>
    <w:rsid w:val="00EA7826"/>
    <w:rsid w:val="00EB04B7"/>
    <w:rsid w:val="00EB0578"/>
    <w:rsid w:val="00EB535D"/>
    <w:rsid w:val="00EC06B9"/>
    <w:rsid w:val="00EC2C87"/>
    <w:rsid w:val="00ED1766"/>
    <w:rsid w:val="00ED2507"/>
    <w:rsid w:val="00EE4F31"/>
    <w:rsid w:val="00EE620D"/>
    <w:rsid w:val="00EE751F"/>
    <w:rsid w:val="00EF61BC"/>
    <w:rsid w:val="00EF7431"/>
    <w:rsid w:val="00F06A6C"/>
    <w:rsid w:val="00F25F79"/>
    <w:rsid w:val="00F30A84"/>
    <w:rsid w:val="00F43737"/>
    <w:rsid w:val="00F44031"/>
    <w:rsid w:val="00F46A80"/>
    <w:rsid w:val="00F626F6"/>
    <w:rsid w:val="00F67D55"/>
    <w:rsid w:val="00F7046C"/>
    <w:rsid w:val="00F87363"/>
    <w:rsid w:val="00FB44D2"/>
    <w:rsid w:val="00FB7911"/>
    <w:rsid w:val="00FC2E4A"/>
    <w:rsid w:val="00FD1E7B"/>
    <w:rsid w:val="00FD7B12"/>
    <w:rsid w:val="00FE0F1A"/>
    <w:rsid w:val="00FF2BCE"/>
    <w:rsid w:val="00FF485D"/>
    <w:rsid w:val="00FF49AB"/>
    <w:rsid w:val="00FF5464"/>
    <w:rsid w:val="05315BA7"/>
    <w:rsid w:val="075235AD"/>
    <w:rsid w:val="0A96708F"/>
    <w:rsid w:val="16C32FBA"/>
    <w:rsid w:val="16DE2FCF"/>
    <w:rsid w:val="17BE0152"/>
    <w:rsid w:val="19EC4CDE"/>
    <w:rsid w:val="1B5D4336"/>
    <w:rsid w:val="285C6DCA"/>
    <w:rsid w:val="2B5841C1"/>
    <w:rsid w:val="2DF94F8B"/>
    <w:rsid w:val="3814321D"/>
    <w:rsid w:val="3914549F"/>
    <w:rsid w:val="470673DB"/>
    <w:rsid w:val="4B9F08F5"/>
    <w:rsid w:val="4C27216E"/>
    <w:rsid w:val="4E972F36"/>
    <w:rsid w:val="526B217C"/>
    <w:rsid w:val="5A3C0E16"/>
    <w:rsid w:val="5E9D333F"/>
    <w:rsid w:val="626A4554"/>
    <w:rsid w:val="63F55D49"/>
    <w:rsid w:val="68142C42"/>
    <w:rsid w:val="6BEA3CBA"/>
    <w:rsid w:val="6DF6140B"/>
    <w:rsid w:val="75BE72E5"/>
    <w:rsid w:val="7840538D"/>
    <w:rsid w:val="78874D6A"/>
    <w:rsid w:val="7D87580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semiHidden/>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semiHidden/>
    <w:qFormat/>
    <w:locked/>
    <w:uiPriority w:val="99"/>
    <w:rPr>
      <w:rFonts w:cs="Times New Roman"/>
      <w:sz w:val="18"/>
      <w:szCs w:val="18"/>
    </w:rPr>
  </w:style>
  <w:style w:type="character" w:customStyle="1" w:styleId="8">
    <w:name w:val="页脚 Char"/>
    <w:basedOn w:val="6"/>
    <w:link w:val="3"/>
    <w:qFormat/>
    <w:locked/>
    <w:uiPriority w:val="99"/>
    <w:rPr>
      <w:rFonts w:cs="Times New Roman"/>
      <w:sz w:val="18"/>
      <w:szCs w:val="18"/>
    </w:rPr>
  </w:style>
  <w:style w:type="character" w:customStyle="1" w:styleId="9">
    <w:name w:val="批注框文本 Char"/>
    <w:basedOn w:val="6"/>
    <w:link w:val="2"/>
    <w:semiHidden/>
    <w:qFormat/>
    <w:uiPriority w:val="99"/>
    <w:rPr>
      <w:rFonts w:ascii="Times New Roman" w:hAnsi="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7</Pages>
  <Words>364</Words>
  <Characters>418</Characters>
  <Lines>3</Lines>
  <Paragraphs>1</Paragraphs>
  <TotalTime>3</TotalTime>
  <ScaleCrop>false</ScaleCrop>
  <LinksUpToDate>false</LinksUpToDate>
  <CharactersWithSpaces>419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2017-12-25T02:17:00Z</dcterms:created>
  <dc:creator>Administrator</dc:creator>
  <cp:lastModifiedBy>黄诚</cp:lastModifiedBy>
  <cp:lastPrinted>2019-08-09T08:30:00Z</cp:lastPrinted>
  <dcterms:modified xsi:type="dcterms:W3CDTF">2023-06-08T06:42:57Z</dcterms:modified>
  <dc:title>碑林区食品药品监督管理局行政处罚信息公开</dc:title>
  <cp:revision>151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A4D16AD46E3B4CECA0B4EA47AB6E5D4D</vt:lpwstr>
  </property>
</Properties>
</file>