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ascii="微软雅黑" w:hAnsi="微软雅黑" w:eastAsia="微软雅黑" w:cs="微软雅黑"/>
          <w:color w:val="000000"/>
          <w:kern w:val="0"/>
          <w:sz w:val="52"/>
          <w:szCs w:val="52"/>
          <w:lang w:val="en-US" w:eastAsia="zh-CN" w:bidi="ar"/>
        </w:rPr>
      </w:pPr>
    </w:p>
    <w:p>
      <w:pPr>
        <w:keepNext w:val="0"/>
        <w:keepLines w:val="0"/>
        <w:widowControl/>
        <w:suppressLineNumbers w:val="0"/>
        <w:jc w:val="center"/>
        <w:rPr>
          <w:rFonts w:ascii="微软雅黑" w:hAnsi="微软雅黑" w:eastAsia="微软雅黑" w:cs="微软雅黑"/>
          <w:color w:val="000000"/>
          <w:kern w:val="0"/>
          <w:sz w:val="52"/>
          <w:szCs w:val="52"/>
          <w:lang w:val="en-US" w:eastAsia="zh-CN" w:bidi="ar"/>
        </w:rPr>
      </w:pPr>
    </w:p>
    <w:p>
      <w:pPr>
        <w:keepNext w:val="0"/>
        <w:keepLines w:val="0"/>
        <w:widowControl/>
        <w:suppressLineNumbers w:val="0"/>
        <w:jc w:val="both"/>
        <w:rPr>
          <w:rFonts w:ascii="微软雅黑" w:hAnsi="微软雅黑" w:eastAsia="微软雅黑" w:cs="微软雅黑"/>
          <w:color w:val="000000"/>
          <w:kern w:val="0"/>
          <w:sz w:val="52"/>
          <w:szCs w:val="5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760" w:lineRule="exact"/>
        <w:jc w:val="center"/>
        <w:textAlignment w:val="auto"/>
        <w:rPr>
          <w:rFonts w:hint="eastAsia" w:ascii="微软雅黑" w:hAnsi="微软雅黑" w:eastAsia="微软雅黑" w:cs="微软雅黑"/>
          <w:color w:val="000000"/>
          <w:kern w:val="0"/>
          <w:sz w:val="52"/>
          <w:szCs w:val="52"/>
          <w:lang w:val="en-US" w:eastAsia="zh-CN" w:bidi="ar"/>
        </w:rPr>
      </w:pPr>
      <w:r>
        <w:rPr>
          <w:rFonts w:ascii="微软雅黑" w:hAnsi="微软雅黑" w:eastAsia="微软雅黑" w:cs="微软雅黑"/>
          <w:color w:val="000000"/>
          <w:kern w:val="0"/>
          <w:sz w:val="52"/>
          <w:szCs w:val="52"/>
          <w:lang w:val="en-US" w:eastAsia="zh-CN" w:bidi="ar"/>
        </w:rPr>
        <w:t>西安市</w:t>
      </w:r>
      <w:r>
        <w:rPr>
          <w:rFonts w:hint="eastAsia" w:ascii="微软雅黑" w:hAnsi="微软雅黑" w:eastAsia="微软雅黑" w:cs="微软雅黑"/>
          <w:color w:val="000000"/>
          <w:kern w:val="0"/>
          <w:sz w:val="52"/>
          <w:szCs w:val="52"/>
          <w:lang w:val="en-US" w:eastAsia="zh-CN" w:bidi="ar"/>
        </w:rPr>
        <w:t>碑林区</w:t>
      </w:r>
      <w:r>
        <w:rPr>
          <w:rFonts w:ascii="微软雅黑" w:hAnsi="微软雅黑" w:eastAsia="微软雅黑" w:cs="微软雅黑"/>
          <w:color w:val="000000"/>
          <w:kern w:val="0"/>
          <w:sz w:val="52"/>
          <w:szCs w:val="52"/>
          <w:lang w:val="en-US" w:eastAsia="zh-CN" w:bidi="ar"/>
        </w:rPr>
        <w:t>财政</w:t>
      </w:r>
      <w:r>
        <w:rPr>
          <w:rFonts w:hint="eastAsia" w:ascii="微软雅黑" w:hAnsi="微软雅黑" w:eastAsia="微软雅黑" w:cs="微软雅黑"/>
          <w:color w:val="000000"/>
          <w:kern w:val="0"/>
          <w:sz w:val="52"/>
          <w:szCs w:val="52"/>
          <w:lang w:val="en-US" w:eastAsia="zh-CN" w:bidi="ar"/>
        </w:rPr>
        <w:t>资金分领域</w:t>
      </w:r>
    </w:p>
    <w:p>
      <w:pPr>
        <w:keepNext w:val="0"/>
        <w:keepLines w:val="0"/>
        <w:pageBreakBefore w:val="0"/>
        <w:widowControl/>
        <w:suppressLineNumbers w:val="0"/>
        <w:kinsoku/>
        <w:wordWrap/>
        <w:overflowPunct/>
        <w:topLinePunct w:val="0"/>
        <w:autoSpaceDE/>
        <w:autoSpaceDN/>
        <w:bidi w:val="0"/>
        <w:adjustRightInd/>
        <w:snapToGrid/>
        <w:spacing w:line="760" w:lineRule="exact"/>
        <w:jc w:val="center"/>
        <w:textAlignment w:val="auto"/>
        <w:rPr>
          <w:sz w:val="52"/>
          <w:szCs w:val="52"/>
        </w:rPr>
      </w:pPr>
      <w:r>
        <w:rPr>
          <w:rFonts w:hint="eastAsia" w:ascii="微软雅黑" w:hAnsi="微软雅黑" w:eastAsia="微软雅黑" w:cs="微软雅黑"/>
          <w:color w:val="000000"/>
          <w:kern w:val="0"/>
          <w:sz w:val="52"/>
          <w:szCs w:val="52"/>
          <w:lang w:val="en-US" w:eastAsia="zh-CN" w:bidi="ar"/>
        </w:rPr>
        <w:t>项目绩效目标表</w:t>
      </w:r>
    </w:p>
    <w:p>
      <w:pPr>
        <w:keepNext w:val="0"/>
        <w:keepLines w:val="0"/>
        <w:pageBreakBefore w:val="0"/>
        <w:widowControl/>
        <w:suppressLineNumbers w:val="0"/>
        <w:kinsoku/>
        <w:wordWrap/>
        <w:overflowPunct/>
        <w:topLinePunct w:val="0"/>
        <w:autoSpaceDE/>
        <w:autoSpaceDN/>
        <w:bidi w:val="0"/>
        <w:adjustRightInd/>
        <w:snapToGrid/>
        <w:spacing w:line="760" w:lineRule="exact"/>
        <w:jc w:val="center"/>
        <w:textAlignment w:val="auto"/>
        <w:rPr>
          <w:rFonts w:hint="eastAsia" w:ascii="微软雅黑" w:hAnsi="微软雅黑" w:eastAsia="微软雅黑" w:cs="微软雅黑"/>
          <w:color w:val="000000"/>
          <w:kern w:val="0"/>
          <w:sz w:val="44"/>
          <w:szCs w:val="44"/>
          <w:lang w:val="en-US" w:eastAsia="zh-CN" w:bidi="ar"/>
        </w:rPr>
      </w:pPr>
      <w:r>
        <w:rPr>
          <w:rFonts w:hint="eastAsia" w:ascii="微软雅黑" w:hAnsi="微软雅黑" w:eastAsia="微软雅黑" w:cs="微软雅黑"/>
          <w:color w:val="000000"/>
          <w:kern w:val="0"/>
          <w:sz w:val="44"/>
          <w:szCs w:val="44"/>
          <w:lang w:val="en-US" w:eastAsia="zh-CN" w:bidi="ar"/>
        </w:rPr>
        <w:t>（2024年）</w:t>
      </w:r>
    </w:p>
    <w:p>
      <w:pPr>
        <w:keepNext w:val="0"/>
        <w:keepLines w:val="0"/>
        <w:pageBreakBefore w:val="0"/>
        <w:widowControl/>
        <w:suppressLineNumbers w:val="0"/>
        <w:kinsoku/>
        <w:wordWrap/>
        <w:overflowPunct/>
        <w:topLinePunct w:val="0"/>
        <w:autoSpaceDE/>
        <w:autoSpaceDN/>
        <w:bidi w:val="0"/>
        <w:adjustRightInd/>
        <w:snapToGrid/>
        <w:spacing w:line="760" w:lineRule="exact"/>
        <w:jc w:val="center"/>
        <w:textAlignment w:val="auto"/>
        <w:rPr>
          <w:rFonts w:hint="eastAsia" w:ascii="微软雅黑" w:hAnsi="微软雅黑" w:eastAsia="微软雅黑" w:cs="微软雅黑"/>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760" w:lineRule="exact"/>
        <w:jc w:val="center"/>
        <w:textAlignment w:val="auto"/>
        <w:rPr>
          <w:rFonts w:hint="eastAsia" w:ascii="微软雅黑" w:hAnsi="微软雅黑" w:eastAsia="微软雅黑" w:cs="微软雅黑"/>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760" w:lineRule="exact"/>
        <w:jc w:val="center"/>
        <w:textAlignment w:val="auto"/>
        <w:rPr>
          <w:rFonts w:hint="eastAsia" w:ascii="微软雅黑" w:hAnsi="微软雅黑" w:eastAsia="微软雅黑" w:cs="微软雅黑"/>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760" w:lineRule="exact"/>
        <w:jc w:val="center"/>
        <w:textAlignment w:val="auto"/>
        <w:rPr>
          <w:rFonts w:hint="eastAsia" w:ascii="微软雅黑" w:hAnsi="微软雅黑" w:eastAsia="微软雅黑" w:cs="微软雅黑"/>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760" w:lineRule="exact"/>
        <w:jc w:val="center"/>
        <w:textAlignment w:val="auto"/>
        <w:rPr>
          <w:rFonts w:hint="eastAsia" w:ascii="微软雅黑" w:hAnsi="微软雅黑" w:eastAsia="微软雅黑" w:cs="微软雅黑"/>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760" w:lineRule="exact"/>
        <w:jc w:val="center"/>
        <w:textAlignment w:val="auto"/>
        <w:rPr>
          <w:rFonts w:hint="eastAsia" w:ascii="微软雅黑" w:hAnsi="微软雅黑" w:eastAsia="微软雅黑" w:cs="微软雅黑"/>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760" w:lineRule="exact"/>
        <w:jc w:val="center"/>
        <w:textAlignment w:val="auto"/>
        <w:rPr>
          <w:rFonts w:hint="eastAsia" w:ascii="微软雅黑" w:hAnsi="微软雅黑" w:eastAsia="微软雅黑" w:cs="微软雅黑"/>
          <w:color w:val="000000"/>
          <w:kern w:val="0"/>
          <w:sz w:val="44"/>
          <w:szCs w:val="4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华文楷体" w:hAnsi="华文楷体" w:eastAsia="华文楷体" w:cs="华文楷体"/>
          <w:color w:val="000000"/>
          <w:kern w:val="0"/>
          <w:sz w:val="32"/>
          <w:szCs w:val="32"/>
          <w:lang w:val="en-US" w:eastAsia="zh-CN" w:bidi="ar"/>
        </w:rPr>
      </w:pPr>
      <w:r>
        <w:rPr>
          <w:rFonts w:hint="eastAsia" w:ascii="华文楷体" w:hAnsi="华文楷体" w:eastAsia="华文楷体" w:cs="华文楷体"/>
          <w:color w:val="000000"/>
          <w:kern w:val="0"/>
          <w:sz w:val="32"/>
          <w:szCs w:val="32"/>
          <w:lang w:val="en-US" w:eastAsia="zh-CN" w:bidi="ar"/>
        </w:rPr>
        <w:t>西安市碑林区财政局</w:t>
      </w:r>
    </w:p>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华文楷体" w:hAnsi="华文楷体" w:eastAsia="华文楷体" w:cs="华文楷体"/>
          <w:color w:val="000000"/>
          <w:kern w:val="0"/>
          <w:sz w:val="32"/>
          <w:szCs w:val="32"/>
          <w:lang w:val="en-US" w:eastAsia="zh-CN" w:bidi="ar"/>
        </w:rPr>
      </w:pPr>
      <w:r>
        <w:rPr>
          <w:rFonts w:hint="eastAsia" w:ascii="华文楷体" w:hAnsi="华文楷体" w:eastAsia="华文楷体" w:cs="华文楷体"/>
          <w:color w:val="000000"/>
          <w:kern w:val="0"/>
          <w:sz w:val="32"/>
          <w:szCs w:val="32"/>
          <w:lang w:val="en-US" w:eastAsia="zh-CN" w:bidi="ar"/>
        </w:rPr>
        <w:t>2024年3月</w:t>
      </w:r>
    </w:p>
    <w:p/>
    <w:p/>
    <w:p/>
    <w:p/>
    <w:p/>
    <w:p>
      <w:pPr>
        <w:keepNext w:val="0"/>
        <w:keepLines w:val="0"/>
        <w:widowControl/>
        <w:suppressLineNumbers w:val="0"/>
        <w:jc w:val="both"/>
        <w:rPr>
          <w:rFonts w:ascii="微软雅黑" w:hAnsi="微软雅黑" w:eastAsia="微软雅黑" w:cs="微软雅黑"/>
          <w:color w:val="000000"/>
          <w:kern w:val="0"/>
          <w:sz w:val="36"/>
          <w:szCs w:val="36"/>
          <w:lang w:val="en-US" w:eastAsia="zh-CN" w:bidi="ar"/>
        </w:rPr>
      </w:pPr>
    </w:p>
    <w:p>
      <w:pPr>
        <w:keepNext w:val="0"/>
        <w:keepLines w:val="0"/>
        <w:pageBreakBefore w:val="0"/>
        <w:widowControl w:val="0"/>
        <w:suppressAutoHyphens/>
        <w:kinsoku/>
        <w:wordWrap/>
        <w:overflowPunct/>
        <w:topLinePunct w:val="0"/>
        <w:autoSpaceDE/>
        <w:autoSpaceDN w:val="0"/>
        <w:bidi w:val="0"/>
        <w:adjustRightInd/>
        <w:snapToGrid w:val="0"/>
        <w:spacing w:before="32" w:beforeLines="10" w:after="32" w:afterLines="10" w:line="560" w:lineRule="exact"/>
        <w:ind w:right="34"/>
        <w:jc w:val="center"/>
        <w:textAlignment w:val="auto"/>
        <w:rPr>
          <w:rFonts w:hint="eastAsia" w:ascii="方正小标宋简体" w:hAnsi="Calibri" w:eastAsia="方正小标宋简体" w:cs="Arial"/>
          <w:sz w:val="44"/>
          <w:szCs w:val="44"/>
          <w:lang w:val="en-US" w:eastAsia="zh-CN"/>
        </w:rPr>
        <w:sectPr>
          <w:pgSz w:w="11906" w:h="16838"/>
          <w:pgMar w:top="1587" w:right="1701" w:bottom="1474" w:left="1701" w:header="851" w:footer="992" w:gutter="0"/>
          <w:pgNumType w:fmt="decimal"/>
          <w:cols w:space="425" w:num="1"/>
          <w:docGrid w:type="lines" w:linePitch="312" w:charSpace="0"/>
        </w:sectPr>
      </w:pPr>
    </w:p>
    <w:p>
      <w:pPr>
        <w:keepNext w:val="0"/>
        <w:keepLines w:val="0"/>
        <w:pageBreakBefore w:val="0"/>
        <w:widowControl w:val="0"/>
        <w:suppressAutoHyphens/>
        <w:kinsoku/>
        <w:wordWrap/>
        <w:overflowPunct/>
        <w:topLinePunct w:val="0"/>
        <w:autoSpaceDE/>
        <w:autoSpaceDN w:val="0"/>
        <w:bidi w:val="0"/>
        <w:adjustRightInd/>
        <w:snapToGrid w:val="0"/>
        <w:spacing w:before="32" w:beforeLines="10" w:after="32" w:afterLines="10" w:line="560" w:lineRule="exact"/>
        <w:ind w:right="34"/>
        <w:jc w:val="center"/>
        <w:textAlignment w:val="auto"/>
        <w:rPr>
          <w:rFonts w:hint="eastAsia" w:ascii="方正小标宋简体" w:hAnsi="Calibri" w:eastAsia="方正小标宋简体" w:cs="Arial"/>
          <w:sz w:val="44"/>
          <w:szCs w:val="44"/>
          <w:lang w:val="en-US" w:eastAsia="zh-CN"/>
        </w:rPr>
      </w:pPr>
    </w:p>
    <w:p>
      <w:pPr>
        <w:keepNext w:val="0"/>
        <w:keepLines w:val="0"/>
        <w:pageBreakBefore w:val="0"/>
        <w:widowControl w:val="0"/>
        <w:suppressAutoHyphens/>
        <w:kinsoku/>
        <w:wordWrap/>
        <w:overflowPunct/>
        <w:topLinePunct w:val="0"/>
        <w:autoSpaceDE/>
        <w:autoSpaceDN w:val="0"/>
        <w:bidi w:val="0"/>
        <w:adjustRightInd/>
        <w:snapToGrid w:val="0"/>
        <w:spacing w:before="32" w:beforeLines="10" w:after="32" w:afterLines="10" w:line="560" w:lineRule="exact"/>
        <w:ind w:right="34"/>
        <w:jc w:val="center"/>
        <w:textAlignment w:val="auto"/>
        <w:rPr>
          <w:rFonts w:hint="eastAsia" w:ascii="方正小标宋简体" w:hAnsi="Calibri" w:eastAsia="方正小标宋简体" w:cs="Arial"/>
          <w:sz w:val="44"/>
          <w:szCs w:val="44"/>
          <w:lang w:val="en-US" w:eastAsia="zh-CN"/>
        </w:rPr>
      </w:pPr>
    </w:p>
    <w:p>
      <w:pPr>
        <w:keepNext w:val="0"/>
        <w:keepLines w:val="0"/>
        <w:pageBreakBefore w:val="0"/>
        <w:widowControl w:val="0"/>
        <w:suppressAutoHyphens/>
        <w:kinsoku/>
        <w:wordWrap/>
        <w:overflowPunct/>
        <w:topLinePunct w:val="0"/>
        <w:autoSpaceDE/>
        <w:autoSpaceDN w:val="0"/>
        <w:bidi w:val="0"/>
        <w:adjustRightInd/>
        <w:snapToGrid w:val="0"/>
        <w:spacing w:before="32" w:beforeLines="10" w:after="32" w:afterLines="10" w:line="560" w:lineRule="exact"/>
        <w:ind w:right="34"/>
        <w:jc w:val="center"/>
        <w:textAlignment w:val="auto"/>
        <w:rPr>
          <w:rFonts w:hint="eastAsia" w:ascii="方正小标宋简体" w:hAnsi="Calibri" w:eastAsia="方正小标宋简体" w:cs="Arial"/>
          <w:sz w:val="44"/>
          <w:szCs w:val="44"/>
          <w:lang w:val="en-US" w:eastAsia="zh-CN"/>
        </w:rPr>
      </w:pPr>
      <w:r>
        <w:rPr>
          <w:rFonts w:hint="eastAsia" w:ascii="方正小标宋简体" w:hAnsi="Calibri" w:eastAsia="方正小标宋简体" w:cs="Arial"/>
          <w:sz w:val="44"/>
          <w:szCs w:val="44"/>
          <w:lang w:val="en-US" w:eastAsia="zh-CN"/>
        </w:rPr>
        <w:t>编写说明</w:t>
      </w:r>
    </w:p>
    <w:p>
      <w:pPr>
        <w:keepNext w:val="0"/>
        <w:keepLines w:val="0"/>
        <w:pageBreakBefore w:val="0"/>
        <w:widowControl w:val="0"/>
        <w:suppressAutoHyphens/>
        <w:kinsoku/>
        <w:wordWrap/>
        <w:overflowPunct/>
        <w:topLinePunct w:val="0"/>
        <w:autoSpaceDE/>
        <w:autoSpaceDN w:val="0"/>
        <w:bidi w:val="0"/>
        <w:adjustRightInd/>
        <w:snapToGrid w:val="0"/>
        <w:spacing w:before="32" w:beforeLines="10" w:after="32" w:afterLines="10" w:line="560" w:lineRule="exact"/>
        <w:ind w:right="34"/>
        <w:jc w:val="both"/>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bidi w:val="0"/>
        <w:adjustRightInd/>
        <w:spacing w:before="32" w:beforeLines="10" w:after="32" w:afterLines="10" w:line="560"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为全面贯彻落实《中共西安市委 西安市人民政府关于全面实施预算绩效管理的实施意见》精神，根据《中共西安市碑林区委 西安市碑林区人民政府关于全面实施预算绩效管理的实施方案的通知》要求，加快推进我区预算绩效管理标准化建设，按照”部门申请、财政审核、政府审定”程序。现将部分区级预算单位编报财政审核通过的《2024年西安市碑林区财政资金分领域项目绩效目标表》进行汇总，供代表们参阅。</w:t>
      </w:r>
    </w:p>
    <w:p>
      <w:pPr>
        <w:keepNext w:val="0"/>
        <w:keepLines w:val="0"/>
        <w:widowControl/>
        <w:suppressLineNumbers w:val="0"/>
        <w:jc w:val="both"/>
        <w:rPr>
          <w:rFonts w:ascii="微软雅黑" w:hAnsi="微软雅黑" w:eastAsia="微软雅黑" w:cs="微软雅黑"/>
          <w:color w:val="000000"/>
          <w:kern w:val="0"/>
          <w:sz w:val="44"/>
          <w:szCs w:val="44"/>
          <w:lang w:val="en-US" w:eastAsia="zh-CN" w:bidi="ar"/>
        </w:rPr>
      </w:pPr>
    </w:p>
    <w:p>
      <w:pPr>
        <w:keepNext w:val="0"/>
        <w:keepLines w:val="0"/>
        <w:widowControl/>
        <w:suppressLineNumbers w:val="0"/>
        <w:jc w:val="both"/>
        <w:rPr>
          <w:rFonts w:ascii="微软雅黑" w:hAnsi="微软雅黑" w:eastAsia="微软雅黑" w:cs="微软雅黑"/>
          <w:color w:val="000000"/>
          <w:kern w:val="0"/>
          <w:sz w:val="44"/>
          <w:szCs w:val="44"/>
          <w:lang w:val="en-US" w:eastAsia="zh-CN" w:bidi="ar"/>
        </w:rPr>
      </w:pPr>
    </w:p>
    <w:p>
      <w:pPr>
        <w:keepNext w:val="0"/>
        <w:keepLines w:val="0"/>
        <w:widowControl/>
        <w:suppressLineNumbers w:val="0"/>
        <w:jc w:val="both"/>
        <w:rPr>
          <w:rFonts w:ascii="微软雅黑" w:hAnsi="微软雅黑" w:eastAsia="微软雅黑" w:cs="微软雅黑"/>
          <w:color w:val="000000"/>
          <w:kern w:val="0"/>
          <w:sz w:val="44"/>
          <w:szCs w:val="44"/>
          <w:lang w:val="en-US" w:eastAsia="zh-CN" w:bidi="ar"/>
        </w:rPr>
      </w:pPr>
    </w:p>
    <w:p>
      <w:pPr>
        <w:keepNext w:val="0"/>
        <w:keepLines w:val="0"/>
        <w:widowControl/>
        <w:suppressLineNumbers w:val="0"/>
        <w:jc w:val="both"/>
        <w:rPr>
          <w:rFonts w:ascii="微软雅黑" w:hAnsi="微软雅黑" w:eastAsia="微软雅黑" w:cs="微软雅黑"/>
          <w:color w:val="000000"/>
          <w:kern w:val="0"/>
          <w:sz w:val="44"/>
          <w:szCs w:val="44"/>
          <w:lang w:val="en-US" w:eastAsia="zh-CN" w:bidi="ar"/>
        </w:rPr>
      </w:pPr>
    </w:p>
    <w:p>
      <w:pPr>
        <w:keepNext w:val="0"/>
        <w:keepLines w:val="0"/>
        <w:widowControl/>
        <w:suppressLineNumbers w:val="0"/>
        <w:jc w:val="both"/>
        <w:rPr>
          <w:rFonts w:ascii="微软雅黑" w:hAnsi="微软雅黑" w:eastAsia="微软雅黑" w:cs="微软雅黑"/>
          <w:color w:val="000000"/>
          <w:kern w:val="0"/>
          <w:sz w:val="44"/>
          <w:szCs w:val="44"/>
          <w:lang w:val="en-US" w:eastAsia="zh-CN" w:bidi="ar"/>
        </w:rPr>
      </w:pPr>
    </w:p>
    <w:p>
      <w:pPr>
        <w:keepNext w:val="0"/>
        <w:keepLines w:val="0"/>
        <w:widowControl/>
        <w:suppressLineNumbers w:val="0"/>
        <w:jc w:val="both"/>
        <w:rPr>
          <w:rFonts w:ascii="微软雅黑" w:hAnsi="微软雅黑" w:eastAsia="微软雅黑" w:cs="微软雅黑"/>
          <w:color w:val="000000"/>
          <w:kern w:val="0"/>
          <w:sz w:val="44"/>
          <w:szCs w:val="44"/>
          <w:lang w:val="en-US" w:eastAsia="zh-CN" w:bidi="ar"/>
        </w:rPr>
      </w:pPr>
    </w:p>
    <w:p>
      <w:pPr>
        <w:keepNext w:val="0"/>
        <w:keepLines w:val="0"/>
        <w:widowControl/>
        <w:suppressLineNumbers w:val="0"/>
        <w:jc w:val="both"/>
        <w:rPr>
          <w:rFonts w:ascii="微软雅黑" w:hAnsi="微软雅黑" w:eastAsia="微软雅黑" w:cs="微软雅黑"/>
          <w:color w:val="000000"/>
          <w:kern w:val="0"/>
          <w:sz w:val="44"/>
          <w:szCs w:val="44"/>
          <w:lang w:val="en-US" w:eastAsia="zh-CN" w:bidi="ar"/>
        </w:rPr>
      </w:pPr>
    </w:p>
    <w:p>
      <w:pPr>
        <w:keepNext w:val="0"/>
        <w:keepLines w:val="0"/>
        <w:widowControl/>
        <w:suppressLineNumbers w:val="0"/>
        <w:jc w:val="both"/>
        <w:rPr>
          <w:rFonts w:ascii="微软雅黑" w:hAnsi="微软雅黑" w:eastAsia="微软雅黑" w:cs="微软雅黑"/>
          <w:color w:val="000000"/>
          <w:kern w:val="0"/>
          <w:sz w:val="44"/>
          <w:szCs w:val="44"/>
          <w:lang w:val="en-US" w:eastAsia="zh-CN" w:bidi="ar"/>
        </w:rPr>
      </w:pPr>
    </w:p>
    <w:p>
      <w:pPr>
        <w:keepNext w:val="0"/>
        <w:keepLines w:val="0"/>
        <w:widowControl/>
        <w:suppressLineNumbers w:val="0"/>
        <w:jc w:val="both"/>
        <w:rPr>
          <w:rFonts w:ascii="微软雅黑" w:hAnsi="微软雅黑" w:eastAsia="微软雅黑" w:cs="微软雅黑"/>
          <w:color w:val="000000"/>
          <w:kern w:val="0"/>
          <w:sz w:val="44"/>
          <w:szCs w:val="44"/>
          <w:lang w:val="en-US" w:eastAsia="zh-CN" w:bidi="ar"/>
        </w:rPr>
        <w:sectPr>
          <w:footerReference r:id="rId3" w:type="default"/>
          <w:pgSz w:w="11906" w:h="16838"/>
          <w:pgMar w:top="1587" w:right="1701" w:bottom="1474" w:left="1701" w:header="851" w:footer="992" w:gutter="0"/>
          <w:pgNumType w:fmt="decimal" w:start="1"/>
          <w:cols w:space="425" w:num="1"/>
          <w:docGrid w:type="lines" w:linePitch="312" w:charSpace="0"/>
        </w:sectPr>
      </w:pPr>
    </w:p>
    <w:p>
      <w:pPr>
        <w:keepNext w:val="0"/>
        <w:keepLines w:val="0"/>
        <w:widowControl/>
        <w:suppressLineNumbers w:val="0"/>
        <w:jc w:val="both"/>
        <w:rPr>
          <w:rFonts w:ascii="微软雅黑" w:hAnsi="微软雅黑" w:eastAsia="微软雅黑" w:cs="微软雅黑"/>
          <w:color w:val="000000"/>
          <w:kern w:val="0"/>
          <w:sz w:val="44"/>
          <w:szCs w:val="44"/>
          <w:lang w:val="en-US" w:eastAsia="zh-CN" w:bidi="ar"/>
        </w:rPr>
      </w:pPr>
    </w:p>
    <w:p>
      <w:pPr>
        <w:keepNext w:val="0"/>
        <w:keepLines w:val="0"/>
        <w:widowControl/>
        <w:suppressLineNumbers w:val="0"/>
        <w:jc w:val="center"/>
        <w:rPr>
          <w:rFonts w:hint="eastAsia" w:ascii="仿宋_GB2312" w:hAnsi="仿宋_GB2312" w:eastAsia="仿宋_GB2312" w:cs="仿宋_GB2312"/>
          <w:color w:val="000000"/>
          <w:kern w:val="0"/>
          <w:sz w:val="32"/>
          <w:szCs w:val="32"/>
          <w:lang w:val="en-US" w:eastAsia="zh-CN" w:bidi="ar"/>
        </w:rPr>
      </w:pPr>
      <w:r>
        <w:rPr>
          <w:rFonts w:ascii="微软雅黑" w:hAnsi="微软雅黑" w:eastAsia="微软雅黑" w:cs="微软雅黑"/>
          <w:color w:val="000000"/>
          <w:kern w:val="0"/>
          <w:sz w:val="44"/>
          <w:szCs w:val="44"/>
          <w:lang w:val="en-US" w:eastAsia="zh-CN" w:bidi="ar"/>
        </w:rPr>
        <w:t xml:space="preserve">目 </w:t>
      </w:r>
      <w:r>
        <w:rPr>
          <w:rFonts w:hint="eastAsia" w:ascii="微软雅黑" w:hAnsi="微软雅黑" w:eastAsia="微软雅黑" w:cs="微软雅黑"/>
          <w:color w:val="000000"/>
          <w:kern w:val="0"/>
          <w:sz w:val="44"/>
          <w:szCs w:val="44"/>
          <w:lang w:val="en-US" w:eastAsia="zh-CN" w:bidi="ar"/>
        </w:rPr>
        <w:t xml:space="preserve"> </w:t>
      </w:r>
      <w:r>
        <w:rPr>
          <w:rFonts w:ascii="微软雅黑" w:hAnsi="微软雅黑" w:eastAsia="微软雅黑" w:cs="微软雅黑"/>
          <w:color w:val="000000"/>
          <w:kern w:val="0"/>
          <w:sz w:val="44"/>
          <w:szCs w:val="44"/>
          <w:lang w:val="en-US" w:eastAsia="zh-CN" w:bidi="ar"/>
        </w:rPr>
        <w:t>录</w:t>
      </w:r>
    </w:p>
    <w:p>
      <w:pPr>
        <w:keepNext w:val="0"/>
        <w:keepLines w:val="0"/>
        <w:pageBreakBefore w:val="0"/>
        <w:widowControl w:val="0"/>
        <w:numPr>
          <w:ilvl w:val="0"/>
          <w:numId w:val="0"/>
        </w:numPr>
        <w:tabs>
          <w:tab w:val="left" w:leader="hyphen" w:pos="7980"/>
        </w:tabs>
        <w:kinsoku/>
        <w:wordWrap/>
        <w:overflowPunct/>
        <w:topLinePunct w:val="0"/>
        <w:autoSpaceDE/>
        <w:autoSpaceDN/>
        <w:bidi w:val="0"/>
        <w:adjustRightInd/>
        <w:snapToGrid/>
        <w:spacing w:line="520" w:lineRule="exact"/>
        <w:jc w:val="left"/>
        <w:textAlignment w:val="auto"/>
        <w:rPr>
          <w:rFonts w:hint="eastAsia" w:ascii="仿宋_GB2312" w:eastAsia="仿宋_GB2312"/>
          <w:sz w:val="32"/>
          <w:szCs w:val="32"/>
        </w:rPr>
      </w:pPr>
      <w:r>
        <w:rPr>
          <w:rFonts w:hint="eastAsia" w:ascii="仿宋_GB2312" w:hAnsi="仿宋_GB2312" w:eastAsia="仿宋_GB2312" w:cs="仿宋_GB2312"/>
          <w:color w:val="000000"/>
          <w:kern w:val="0"/>
          <w:sz w:val="32"/>
          <w:szCs w:val="32"/>
          <w:lang w:val="en-US" w:eastAsia="zh-CN" w:bidi="ar"/>
        </w:rPr>
        <w:t>2024年城市最低生活保障资金绩效目标表</w:t>
      </w:r>
      <w:r>
        <w:rPr>
          <w:rFonts w:hint="eastAsia" w:ascii="仿宋_GB2312" w:hAnsi="仿宋_GB2312" w:eastAsia="仿宋_GB2312" w:cs="仿宋_GB2312"/>
          <w:color w:val="000000"/>
          <w:kern w:val="0"/>
          <w:sz w:val="32"/>
          <w:szCs w:val="32"/>
          <w:lang w:val="en-US" w:eastAsia="zh-CN" w:bidi="ar"/>
        </w:rPr>
        <w:tab/>
      </w:r>
      <w:r>
        <w:rPr>
          <w:rFonts w:hint="eastAsia" w:ascii="仿宋_GB2312" w:eastAsia="仿宋_GB2312"/>
          <w:sz w:val="32"/>
          <w:szCs w:val="32"/>
        </w:rPr>
        <w:t>1</w:t>
      </w:r>
    </w:p>
    <w:p>
      <w:pPr>
        <w:keepNext w:val="0"/>
        <w:keepLines w:val="0"/>
        <w:pageBreakBefore w:val="0"/>
        <w:widowControl/>
        <w:suppressLineNumbers w:val="0"/>
        <w:tabs>
          <w:tab w:val="left" w:leader="hyphen" w:pos="7980"/>
          <w:tab w:val="left" w:pos="8620"/>
        </w:tabs>
        <w:kinsoku/>
        <w:wordWrap/>
        <w:overflowPunct/>
        <w:topLinePunct w:val="0"/>
        <w:autoSpaceDE/>
        <w:autoSpaceDN/>
        <w:bidi w:val="0"/>
        <w:adjustRightInd/>
        <w:snapToGrid/>
        <w:ind w:right="-115" w:rightChars="-55"/>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居民养老保险补助绩效目标表</w:t>
      </w:r>
      <w:r>
        <w:rPr>
          <w:rFonts w:hint="eastAsia" w:ascii="仿宋_GB2312" w:hAnsi="仿宋_GB2312" w:eastAsia="仿宋_GB2312" w:cs="仿宋_GB2312"/>
          <w:color w:val="000000"/>
          <w:kern w:val="0"/>
          <w:sz w:val="32"/>
          <w:szCs w:val="32"/>
          <w:lang w:val="en-US" w:eastAsia="zh-CN" w:bidi="ar"/>
        </w:rPr>
        <w:tab/>
      </w:r>
      <w:r>
        <w:rPr>
          <w:rFonts w:hint="eastAsia" w:ascii="仿宋_GB2312" w:eastAsia="仿宋_GB2312"/>
          <w:sz w:val="32"/>
          <w:szCs w:val="32"/>
          <w:lang w:val="en-US" w:eastAsia="zh-CN"/>
        </w:rPr>
        <w:t>2</w:t>
      </w:r>
    </w:p>
    <w:p>
      <w:pPr>
        <w:keepNext w:val="0"/>
        <w:keepLines w:val="0"/>
        <w:pageBreakBefore w:val="0"/>
        <w:widowControl/>
        <w:suppressLineNumbers w:val="0"/>
        <w:tabs>
          <w:tab w:val="left" w:leader="hyphen" w:pos="7980"/>
        </w:tabs>
        <w:kinsoku/>
        <w:wordWrap/>
        <w:overflowPunct/>
        <w:topLinePunct w:val="0"/>
        <w:autoSpaceDE/>
        <w:autoSpaceDN/>
        <w:bidi w:val="0"/>
        <w:adjustRightInd/>
        <w:snapToGrid/>
        <w:jc w:val="both"/>
        <w:textAlignment w:val="auto"/>
        <w:rPr>
          <w:rFonts w:hint="eastAsia" w:ascii="仿宋_GB2312" w:hAnsi="仿宋_GB2312" w:eastAsia="仿宋_GB2312" w:cs="仿宋_GB2312"/>
          <w:color w:val="000000"/>
          <w:kern w:val="0"/>
          <w:sz w:val="32"/>
          <w:szCs w:val="32"/>
          <w:lang w:val="en-US" w:eastAsia="zh-CN" w:bidi="ar"/>
        </w:rPr>
      </w:pPr>
      <w:r>
        <w:rPr>
          <w:rFonts w:hint="default" w:ascii="仿宋_GB2312" w:hAnsi="仿宋_GB2312" w:eastAsia="仿宋_GB2312" w:cs="仿宋_GB2312"/>
          <w:color w:val="000000"/>
          <w:kern w:val="0"/>
          <w:sz w:val="32"/>
          <w:szCs w:val="32"/>
          <w:lang w:val="en-US" w:eastAsia="zh-CN" w:bidi="ar"/>
        </w:rPr>
        <w:t>碑林区国资监管信息系统建设</w:t>
      </w:r>
      <w:r>
        <w:rPr>
          <w:rFonts w:hint="eastAsia" w:ascii="仿宋_GB2312" w:hAnsi="仿宋_GB2312" w:eastAsia="仿宋_GB2312" w:cs="仿宋_GB2312"/>
          <w:color w:val="000000"/>
          <w:kern w:val="0"/>
          <w:sz w:val="32"/>
          <w:szCs w:val="32"/>
          <w:lang w:val="en-US" w:eastAsia="zh-CN" w:bidi="ar"/>
        </w:rPr>
        <w:t>绩效目标表</w:t>
      </w:r>
      <w:r>
        <w:rPr>
          <w:rFonts w:hint="eastAsia" w:ascii="仿宋_GB2312" w:hAnsi="仿宋_GB2312" w:eastAsia="仿宋_GB2312" w:cs="仿宋_GB2312"/>
          <w:color w:val="000000"/>
          <w:kern w:val="0"/>
          <w:sz w:val="32"/>
          <w:szCs w:val="32"/>
          <w:lang w:val="en-US" w:eastAsia="zh-CN" w:bidi="ar"/>
        </w:rPr>
        <w:tab/>
      </w:r>
      <w:r>
        <w:rPr>
          <w:rFonts w:hint="eastAsia" w:ascii="仿宋_GB2312" w:hAnsi="仿宋_GB2312" w:eastAsia="仿宋_GB2312" w:cs="仿宋_GB2312"/>
          <w:color w:val="000000"/>
          <w:kern w:val="0"/>
          <w:sz w:val="32"/>
          <w:szCs w:val="32"/>
          <w:lang w:val="en-US" w:eastAsia="zh-CN" w:bidi="ar"/>
        </w:rPr>
        <w:t>3</w:t>
      </w:r>
    </w:p>
    <w:p>
      <w:pPr>
        <w:keepNext w:val="0"/>
        <w:keepLines w:val="0"/>
        <w:pageBreakBefore w:val="0"/>
        <w:widowControl/>
        <w:suppressLineNumbers w:val="0"/>
        <w:tabs>
          <w:tab w:val="left" w:leader="hyphen" w:pos="7980"/>
        </w:tabs>
        <w:kinsoku/>
        <w:wordWrap/>
        <w:overflowPunct/>
        <w:topLinePunct w:val="0"/>
        <w:autoSpaceDE/>
        <w:autoSpaceDN/>
        <w:bidi w:val="0"/>
        <w:adjustRightInd/>
        <w:snapToGrid/>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区级应急成品储备粮经费绩效目标表</w:t>
      </w:r>
      <w:r>
        <w:rPr>
          <w:rFonts w:hint="eastAsia" w:ascii="仿宋_GB2312" w:hAnsi="仿宋_GB2312" w:eastAsia="仿宋_GB2312" w:cs="仿宋_GB2312"/>
          <w:color w:val="000000"/>
          <w:kern w:val="0"/>
          <w:sz w:val="32"/>
          <w:szCs w:val="32"/>
          <w:lang w:val="en-US" w:eastAsia="zh-CN" w:bidi="ar"/>
        </w:rPr>
        <w:tab/>
      </w:r>
      <w:r>
        <w:rPr>
          <w:rFonts w:hint="eastAsia" w:ascii="仿宋_GB2312" w:hAnsi="仿宋_GB2312" w:eastAsia="仿宋_GB2312" w:cs="仿宋_GB2312"/>
          <w:color w:val="000000"/>
          <w:kern w:val="0"/>
          <w:sz w:val="32"/>
          <w:szCs w:val="32"/>
          <w:lang w:val="en-US" w:eastAsia="zh-CN" w:bidi="ar"/>
        </w:rPr>
        <w:t>4</w:t>
      </w:r>
    </w:p>
    <w:p>
      <w:pPr>
        <w:keepNext w:val="0"/>
        <w:keepLines w:val="0"/>
        <w:pageBreakBefore w:val="0"/>
        <w:widowControl/>
        <w:suppressLineNumbers w:val="0"/>
        <w:tabs>
          <w:tab w:val="left" w:leader="hyphen" w:pos="7980"/>
        </w:tabs>
        <w:kinsoku/>
        <w:wordWrap/>
        <w:overflowPunct/>
        <w:topLinePunct w:val="0"/>
        <w:autoSpaceDE/>
        <w:autoSpaceDN/>
        <w:bidi w:val="0"/>
        <w:adjustRightInd/>
        <w:snapToGrid/>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独生子女父母补助金（居民）绩效目标表</w:t>
      </w:r>
      <w:r>
        <w:rPr>
          <w:rFonts w:hint="eastAsia" w:ascii="仿宋_GB2312" w:hAnsi="仿宋_GB2312" w:eastAsia="仿宋_GB2312" w:cs="仿宋_GB2312"/>
          <w:color w:val="000000"/>
          <w:kern w:val="0"/>
          <w:sz w:val="32"/>
          <w:szCs w:val="32"/>
          <w:lang w:val="en-US" w:eastAsia="zh-CN" w:bidi="ar"/>
        </w:rPr>
        <w:tab/>
      </w:r>
      <w:r>
        <w:rPr>
          <w:rFonts w:hint="eastAsia" w:ascii="仿宋_GB2312" w:hAnsi="仿宋_GB2312" w:eastAsia="仿宋_GB2312" w:cs="仿宋_GB2312"/>
          <w:color w:val="000000"/>
          <w:kern w:val="0"/>
          <w:sz w:val="32"/>
          <w:szCs w:val="32"/>
          <w:lang w:val="en-US" w:eastAsia="zh-CN" w:bidi="ar"/>
        </w:rPr>
        <w:t>5</w:t>
      </w:r>
    </w:p>
    <w:p>
      <w:pPr>
        <w:keepNext w:val="0"/>
        <w:keepLines w:val="0"/>
        <w:pageBreakBefore w:val="0"/>
        <w:widowControl/>
        <w:suppressLineNumbers w:val="0"/>
        <w:tabs>
          <w:tab w:val="left" w:leader="hyphen" w:pos="7980"/>
        </w:tabs>
        <w:kinsoku/>
        <w:wordWrap/>
        <w:overflowPunct/>
        <w:topLinePunct w:val="0"/>
        <w:autoSpaceDE/>
        <w:autoSpaceDN/>
        <w:bidi w:val="0"/>
        <w:adjustRightInd/>
        <w:snapToGrid/>
        <w:jc w:val="both"/>
        <w:textAlignment w:val="auto"/>
        <w:rPr>
          <w:rFonts w:hint="eastAsia" w:ascii="仿宋_GB2312" w:hAnsi="仿宋_GB2312" w:eastAsia="仿宋_GB2312" w:cs="仿宋_GB2312"/>
          <w:color w:val="000000"/>
          <w:kern w:val="0"/>
          <w:sz w:val="32"/>
          <w:szCs w:val="32"/>
          <w:lang w:val="en-US" w:eastAsia="zh-CN" w:bidi="ar"/>
        </w:rPr>
      </w:pPr>
      <w:r>
        <w:rPr>
          <w:rFonts w:hint="default" w:ascii="仿宋_GB2312" w:hAnsi="仿宋_GB2312" w:eastAsia="仿宋_GB2312" w:cs="仿宋_GB2312"/>
          <w:color w:val="000000"/>
          <w:kern w:val="0"/>
          <w:sz w:val="32"/>
          <w:szCs w:val="32"/>
          <w:lang w:val="en-US" w:eastAsia="zh-CN" w:bidi="ar"/>
        </w:rPr>
        <w:t>残疾人专职委员工作补贴</w:t>
      </w:r>
      <w:r>
        <w:rPr>
          <w:rFonts w:hint="eastAsia" w:ascii="仿宋_GB2312" w:hAnsi="仿宋_GB2312" w:eastAsia="仿宋_GB2312" w:cs="仿宋_GB2312"/>
          <w:color w:val="000000"/>
          <w:kern w:val="0"/>
          <w:sz w:val="32"/>
          <w:szCs w:val="32"/>
          <w:lang w:val="en-US" w:eastAsia="zh-CN" w:bidi="ar"/>
        </w:rPr>
        <w:t>绩效目标表</w:t>
      </w:r>
      <w:r>
        <w:rPr>
          <w:rFonts w:hint="eastAsia" w:ascii="仿宋_GB2312" w:hAnsi="仿宋_GB2312" w:eastAsia="仿宋_GB2312" w:cs="仿宋_GB2312"/>
          <w:color w:val="000000"/>
          <w:kern w:val="0"/>
          <w:sz w:val="32"/>
          <w:szCs w:val="32"/>
          <w:lang w:val="en-US" w:eastAsia="zh-CN" w:bidi="ar"/>
        </w:rPr>
        <w:tab/>
      </w:r>
      <w:r>
        <w:rPr>
          <w:rFonts w:hint="eastAsia" w:ascii="仿宋_GB2312" w:hAnsi="仿宋_GB2312" w:eastAsia="仿宋_GB2312" w:cs="仿宋_GB2312"/>
          <w:color w:val="000000"/>
          <w:kern w:val="0"/>
          <w:sz w:val="32"/>
          <w:szCs w:val="32"/>
          <w:lang w:val="en-US" w:eastAsia="zh-CN" w:bidi="ar"/>
        </w:rPr>
        <w:t>6</w:t>
      </w:r>
    </w:p>
    <w:p>
      <w:pPr>
        <w:keepNext w:val="0"/>
        <w:keepLines w:val="0"/>
        <w:pageBreakBefore w:val="0"/>
        <w:widowControl/>
        <w:suppressLineNumbers w:val="0"/>
        <w:tabs>
          <w:tab w:val="left" w:leader="hyphen" w:pos="7980"/>
        </w:tabs>
        <w:kinsoku/>
        <w:wordWrap/>
        <w:overflowPunct/>
        <w:topLinePunct w:val="0"/>
        <w:autoSpaceDE/>
        <w:autoSpaceDN/>
        <w:bidi w:val="0"/>
        <w:adjustRightInd/>
        <w:snapToGrid/>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自主就业一次性经济补助金绩效目标表</w:t>
      </w:r>
      <w:r>
        <w:rPr>
          <w:rFonts w:hint="eastAsia" w:ascii="仿宋_GB2312" w:hAnsi="仿宋_GB2312" w:eastAsia="仿宋_GB2312" w:cs="仿宋_GB2312"/>
          <w:color w:val="000000"/>
          <w:kern w:val="0"/>
          <w:sz w:val="32"/>
          <w:szCs w:val="32"/>
          <w:lang w:val="en-US" w:eastAsia="zh-CN" w:bidi="ar"/>
        </w:rPr>
        <w:tab/>
      </w:r>
      <w:r>
        <w:rPr>
          <w:rFonts w:hint="eastAsia" w:ascii="仿宋_GB2312" w:hAnsi="仿宋_GB2312" w:eastAsia="仿宋_GB2312" w:cs="仿宋_GB2312"/>
          <w:color w:val="000000"/>
          <w:kern w:val="0"/>
          <w:sz w:val="32"/>
          <w:szCs w:val="32"/>
          <w:lang w:val="en-US" w:eastAsia="zh-CN" w:bidi="ar"/>
        </w:rPr>
        <w:t>7</w:t>
      </w:r>
    </w:p>
    <w:p>
      <w:pPr>
        <w:keepNext w:val="0"/>
        <w:keepLines w:val="0"/>
        <w:pageBreakBefore w:val="0"/>
        <w:widowControl/>
        <w:suppressLineNumbers w:val="0"/>
        <w:tabs>
          <w:tab w:val="left" w:leader="hyphen" w:pos="7980"/>
        </w:tabs>
        <w:kinsoku/>
        <w:wordWrap/>
        <w:overflowPunct/>
        <w:topLinePunct w:val="0"/>
        <w:autoSpaceDE/>
        <w:autoSpaceDN/>
        <w:bidi w:val="0"/>
        <w:adjustRightInd/>
        <w:snapToGrid/>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惠民殡葬补助和节地生态安葬奖补资金绩效目标表</w:t>
      </w:r>
      <w:r>
        <w:rPr>
          <w:rFonts w:hint="eastAsia" w:ascii="仿宋_GB2312" w:hAnsi="仿宋_GB2312" w:eastAsia="仿宋_GB2312" w:cs="仿宋_GB2312"/>
          <w:color w:val="000000"/>
          <w:kern w:val="0"/>
          <w:sz w:val="32"/>
          <w:szCs w:val="32"/>
          <w:lang w:val="en-US" w:eastAsia="zh-CN" w:bidi="ar"/>
        </w:rPr>
        <w:tab/>
      </w:r>
      <w:r>
        <w:rPr>
          <w:rFonts w:hint="eastAsia" w:ascii="仿宋_GB2312" w:hAnsi="仿宋_GB2312" w:eastAsia="仿宋_GB2312" w:cs="仿宋_GB2312"/>
          <w:color w:val="000000"/>
          <w:kern w:val="0"/>
          <w:sz w:val="32"/>
          <w:szCs w:val="32"/>
          <w:lang w:val="en-US" w:eastAsia="zh-CN" w:bidi="ar"/>
        </w:rPr>
        <w:t>8</w:t>
      </w:r>
    </w:p>
    <w:p>
      <w:pPr>
        <w:keepNext w:val="0"/>
        <w:keepLines w:val="0"/>
        <w:pageBreakBefore w:val="0"/>
        <w:widowControl/>
        <w:suppressLineNumbers w:val="0"/>
        <w:tabs>
          <w:tab w:val="left" w:leader="hyphen" w:pos="7980"/>
        </w:tabs>
        <w:kinsoku/>
        <w:wordWrap/>
        <w:overflowPunct/>
        <w:topLinePunct w:val="0"/>
        <w:autoSpaceDE/>
        <w:autoSpaceDN/>
        <w:bidi w:val="0"/>
        <w:adjustRightInd/>
        <w:snapToGrid/>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人才工作绩效目标表</w:t>
      </w:r>
      <w:r>
        <w:rPr>
          <w:rFonts w:hint="eastAsia" w:ascii="仿宋_GB2312" w:hAnsi="仿宋_GB2312" w:eastAsia="仿宋_GB2312" w:cs="仿宋_GB2312"/>
          <w:color w:val="000000"/>
          <w:kern w:val="0"/>
          <w:sz w:val="32"/>
          <w:szCs w:val="32"/>
          <w:lang w:val="en-US" w:eastAsia="zh-CN" w:bidi="ar"/>
        </w:rPr>
        <w:tab/>
      </w:r>
      <w:r>
        <w:rPr>
          <w:rFonts w:hint="eastAsia" w:ascii="仿宋_GB2312" w:hAnsi="仿宋_GB2312" w:eastAsia="仿宋_GB2312" w:cs="仿宋_GB2312"/>
          <w:color w:val="000000"/>
          <w:kern w:val="0"/>
          <w:sz w:val="32"/>
          <w:szCs w:val="32"/>
          <w:lang w:val="en-US" w:eastAsia="zh-CN" w:bidi="ar"/>
        </w:rPr>
        <w:t>9</w:t>
      </w:r>
    </w:p>
    <w:p>
      <w:pPr>
        <w:keepNext w:val="0"/>
        <w:keepLines w:val="0"/>
        <w:pageBreakBefore w:val="0"/>
        <w:widowControl/>
        <w:suppressLineNumbers w:val="0"/>
        <w:tabs>
          <w:tab w:val="left" w:leader="hyphen" w:pos="7980"/>
        </w:tabs>
        <w:kinsoku/>
        <w:wordWrap/>
        <w:overflowPunct/>
        <w:topLinePunct w:val="0"/>
        <w:autoSpaceDE/>
        <w:autoSpaceDN/>
        <w:bidi w:val="0"/>
        <w:adjustRightInd/>
        <w:snapToGrid/>
        <w:jc w:val="both"/>
        <w:textAlignment w:val="auto"/>
        <w:rPr>
          <w:rFonts w:hint="default"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spacing w:val="23"/>
          <w:kern w:val="0"/>
          <w:sz w:val="32"/>
          <w:szCs w:val="32"/>
          <w:lang w:val="en-US" w:eastAsia="zh-CN" w:bidi="ar"/>
        </w:rPr>
        <w:t>生态环境治理经费绩效目标表</w:t>
      </w:r>
      <w:r>
        <w:rPr>
          <w:rFonts w:hint="eastAsia" w:ascii="仿宋_GB2312" w:hAnsi="仿宋_GB2312" w:eastAsia="仿宋_GB2312" w:cs="仿宋_GB2312"/>
          <w:color w:val="000000"/>
          <w:spacing w:val="23"/>
          <w:kern w:val="0"/>
          <w:sz w:val="32"/>
          <w:szCs w:val="32"/>
          <w:lang w:val="en-US" w:eastAsia="zh-CN" w:bidi="ar"/>
        </w:rPr>
        <w:tab/>
      </w:r>
      <w:r>
        <w:rPr>
          <w:rFonts w:hint="eastAsia" w:ascii="仿宋_GB2312" w:hAnsi="仿宋_GB2312" w:eastAsia="仿宋_GB2312" w:cs="仿宋_GB2312"/>
          <w:color w:val="000000"/>
          <w:kern w:val="0"/>
          <w:sz w:val="32"/>
          <w:szCs w:val="32"/>
          <w:lang w:val="en-US" w:eastAsia="zh-CN" w:bidi="ar"/>
        </w:rPr>
        <w:t>10</w:t>
      </w:r>
    </w:p>
    <w:p>
      <w:pPr>
        <w:keepNext w:val="0"/>
        <w:keepLines w:val="0"/>
        <w:pageBreakBefore w:val="0"/>
        <w:widowControl/>
        <w:suppressLineNumbers w:val="0"/>
        <w:tabs>
          <w:tab w:val="left" w:leader="hyphen" w:pos="7980"/>
        </w:tabs>
        <w:kinsoku/>
        <w:wordWrap/>
        <w:overflowPunct/>
        <w:topLinePunct w:val="0"/>
        <w:autoSpaceDE/>
        <w:autoSpaceDN/>
        <w:bidi w:val="0"/>
        <w:adjustRightInd/>
        <w:snapToGrid/>
        <w:jc w:val="both"/>
        <w:textAlignment w:val="auto"/>
        <w:rPr>
          <w:rFonts w:hint="eastAsia" w:ascii="仿宋_GB2312" w:hAnsi="仿宋_GB2312" w:eastAsia="仿宋_GB2312" w:cs="仿宋_GB2312"/>
          <w:color w:val="000000"/>
          <w:spacing w:val="6"/>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2024年市级体彩公益金支持全民健身事业发展和重大赛事</w:t>
      </w:r>
      <w:r>
        <w:rPr>
          <w:rFonts w:hint="eastAsia" w:ascii="仿宋_GB2312" w:hAnsi="仿宋_GB2312" w:eastAsia="仿宋_GB2312" w:cs="仿宋_GB2312"/>
          <w:color w:val="000000"/>
          <w:spacing w:val="11"/>
          <w:kern w:val="0"/>
          <w:sz w:val="32"/>
          <w:szCs w:val="32"/>
          <w:lang w:val="en-US" w:eastAsia="zh-CN" w:bidi="ar"/>
        </w:rPr>
        <w:t>专项补助资金绩效目标表</w:t>
      </w:r>
      <w:r>
        <w:rPr>
          <w:rFonts w:hint="eastAsia" w:ascii="仿宋_GB2312" w:hAnsi="仿宋_GB2312" w:eastAsia="仿宋_GB2312" w:cs="仿宋_GB2312"/>
          <w:color w:val="000000"/>
          <w:spacing w:val="11"/>
          <w:kern w:val="0"/>
          <w:sz w:val="32"/>
          <w:szCs w:val="32"/>
          <w:lang w:val="en-US" w:eastAsia="zh-CN" w:bidi="ar"/>
        </w:rPr>
        <w:tab/>
      </w:r>
      <w:r>
        <w:rPr>
          <w:rFonts w:hint="eastAsia" w:ascii="仿宋_GB2312" w:hAnsi="仿宋_GB2312" w:eastAsia="仿宋_GB2312" w:cs="仿宋_GB2312"/>
          <w:color w:val="000000"/>
          <w:spacing w:val="6"/>
          <w:kern w:val="0"/>
          <w:sz w:val="32"/>
          <w:szCs w:val="32"/>
          <w:lang w:val="en-US" w:eastAsia="zh-CN" w:bidi="ar"/>
        </w:rPr>
        <w:t>11</w:t>
      </w:r>
    </w:p>
    <w:p>
      <w:pPr>
        <w:keepNext w:val="0"/>
        <w:keepLines w:val="0"/>
        <w:pageBreakBefore w:val="0"/>
        <w:widowControl/>
        <w:suppressLineNumbers w:val="0"/>
        <w:tabs>
          <w:tab w:val="left" w:leader="hyphen" w:pos="7980"/>
        </w:tabs>
        <w:kinsoku/>
        <w:wordWrap/>
        <w:overflowPunct/>
        <w:topLinePunct w:val="0"/>
        <w:autoSpaceDE/>
        <w:autoSpaceDN/>
        <w:bidi w:val="0"/>
        <w:adjustRightInd/>
        <w:snapToGrid/>
        <w:jc w:val="both"/>
        <w:textAlignment w:val="auto"/>
        <w:rPr>
          <w:rFonts w:hint="eastAsia" w:ascii="仿宋_GB2312" w:hAnsi="仿宋_GB2312" w:eastAsia="仿宋_GB2312" w:cs="仿宋_GB2312"/>
          <w:color w:val="000000"/>
          <w:spacing w:val="6"/>
          <w:kern w:val="0"/>
          <w:sz w:val="32"/>
          <w:szCs w:val="32"/>
          <w:lang w:val="en-US" w:eastAsia="zh-CN" w:bidi="ar"/>
        </w:rPr>
      </w:pPr>
      <w:r>
        <w:rPr>
          <w:rFonts w:hint="default" w:ascii="仿宋_GB2312" w:hAnsi="仿宋_GB2312" w:eastAsia="仿宋_GB2312" w:cs="仿宋_GB2312"/>
          <w:color w:val="000000"/>
          <w:kern w:val="0"/>
          <w:sz w:val="32"/>
          <w:szCs w:val="32"/>
          <w:lang w:val="en-US" w:eastAsia="zh-CN" w:bidi="ar"/>
        </w:rPr>
        <w:t>西安市碑林区铁五第二小学南教学区改造装修项目</w:t>
      </w:r>
      <w:r>
        <w:rPr>
          <w:rFonts w:hint="eastAsia" w:ascii="仿宋_GB2312" w:hAnsi="仿宋_GB2312" w:eastAsia="仿宋_GB2312" w:cs="仿宋_GB2312"/>
          <w:color w:val="000000"/>
          <w:kern w:val="0"/>
          <w:sz w:val="32"/>
          <w:szCs w:val="32"/>
          <w:lang w:val="en-US" w:eastAsia="zh-CN" w:bidi="ar"/>
        </w:rPr>
        <w:t>绩效目</w:t>
      </w:r>
      <w:r>
        <w:rPr>
          <w:rFonts w:hint="eastAsia" w:ascii="仿宋_GB2312" w:hAnsi="仿宋_GB2312" w:eastAsia="仿宋_GB2312" w:cs="仿宋_GB2312"/>
          <w:color w:val="000000"/>
          <w:spacing w:val="51"/>
          <w:kern w:val="0"/>
          <w:sz w:val="32"/>
          <w:szCs w:val="32"/>
          <w:lang w:val="en-US" w:eastAsia="zh-CN" w:bidi="ar"/>
        </w:rPr>
        <w:t>标表</w:t>
      </w:r>
      <w:r>
        <w:rPr>
          <w:rFonts w:hint="eastAsia" w:ascii="仿宋_GB2312" w:hAnsi="仿宋_GB2312" w:eastAsia="仿宋_GB2312" w:cs="仿宋_GB2312"/>
          <w:color w:val="000000"/>
          <w:spacing w:val="51"/>
          <w:kern w:val="0"/>
          <w:sz w:val="32"/>
          <w:szCs w:val="32"/>
          <w:lang w:val="en-US" w:eastAsia="zh-CN" w:bidi="ar"/>
        </w:rPr>
        <w:tab/>
      </w:r>
      <w:r>
        <w:rPr>
          <w:rFonts w:hint="eastAsia" w:ascii="仿宋_GB2312" w:hAnsi="仿宋_GB2312" w:eastAsia="仿宋_GB2312" w:cs="仿宋_GB2312"/>
          <w:color w:val="000000"/>
          <w:spacing w:val="6"/>
          <w:kern w:val="0"/>
          <w:sz w:val="32"/>
          <w:szCs w:val="32"/>
          <w:lang w:val="en-US" w:eastAsia="zh-CN" w:bidi="ar"/>
        </w:rPr>
        <w:t>12</w:t>
      </w:r>
    </w:p>
    <w:p>
      <w:pPr>
        <w:keepNext w:val="0"/>
        <w:keepLines w:val="0"/>
        <w:widowControl/>
        <w:suppressLineNumbers w:val="0"/>
        <w:jc w:val="left"/>
        <w:rPr>
          <w:rFonts w:hint="eastAsia" w:ascii="仿宋_GB2312" w:hAnsi="仿宋_GB2312" w:eastAsia="仿宋_GB2312" w:cs="仿宋_GB2312"/>
          <w:color w:val="000000"/>
          <w:kern w:val="0"/>
          <w:sz w:val="32"/>
          <w:szCs w:val="32"/>
          <w:lang w:val="en-US" w:eastAsia="zh-CN" w:bidi="ar"/>
        </w:rPr>
      </w:pPr>
    </w:p>
    <w:p>
      <w:pPr>
        <w:keepNext w:val="0"/>
        <w:keepLines w:val="0"/>
        <w:widowControl/>
        <w:suppressLineNumbers w:val="0"/>
        <w:jc w:val="left"/>
        <w:rPr>
          <w:rFonts w:hint="eastAsia" w:ascii="仿宋_GB2312" w:hAnsi="仿宋_GB2312" w:eastAsia="仿宋_GB2312" w:cs="仿宋_GB2312"/>
          <w:color w:val="000000"/>
          <w:kern w:val="0"/>
          <w:sz w:val="32"/>
          <w:szCs w:val="32"/>
          <w:lang w:val="en-US" w:eastAsia="zh-CN" w:bidi="ar"/>
        </w:rPr>
      </w:pPr>
    </w:p>
    <w:p>
      <w:pPr>
        <w:keepNext w:val="0"/>
        <w:keepLines w:val="0"/>
        <w:widowControl/>
        <w:suppressLineNumbers w:val="0"/>
        <w:jc w:val="left"/>
        <w:rPr>
          <w:rFonts w:hint="eastAsia" w:ascii="仿宋_GB2312" w:hAnsi="仿宋_GB2312" w:eastAsia="仿宋_GB2312" w:cs="仿宋_GB2312"/>
          <w:color w:val="000000"/>
          <w:kern w:val="0"/>
          <w:sz w:val="32"/>
          <w:szCs w:val="32"/>
          <w:lang w:val="en-US" w:eastAsia="zh-CN" w:bidi="ar"/>
        </w:rPr>
      </w:pPr>
    </w:p>
    <w:p>
      <w:pPr>
        <w:keepNext w:val="0"/>
        <w:keepLines w:val="0"/>
        <w:widowControl/>
        <w:suppressLineNumbers w:val="0"/>
        <w:jc w:val="left"/>
        <w:rPr>
          <w:rFonts w:hint="eastAsia" w:ascii="仿宋_GB2312" w:hAnsi="仿宋_GB2312" w:eastAsia="仿宋_GB2312" w:cs="仿宋_GB2312"/>
          <w:color w:val="000000"/>
          <w:kern w:val="0"/>
          <w:sz w:val="32"/>
          <w:szCs w:val="32"/>
          <w:lang w:val="en-US" w:eastAsia="zh-CN" w:bidi="ar"/>
        </w:rPr>
      </w:pPr>
    </w:p>
    <w:p>
      <w:pPr>
        <w:keepNext w:val="0"/>
        <w:keepLines w:val="0"/>
        <w:widowControl/>
        <w:suppressLineNumbers w:val="0"/>
        <w:jc w:val="left"/>
        <w:rPr>
          <w:rFonts w:hint="eastAsia" w:ascii="仿宋_GB2312" w:hAnsi="仿宋_GB2312" w:eastAsia="仿宋_GB2312" w:cs="仿宋_GB2312"/>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黑体" w:hAnsi="宋体" w:eastAsia="黑体" w:cs="黑体"/>
          <w:i w:val="0"/>
          <w:iCs w:val="0"/>
          <w:color w:val="000000"/>
          <w:kern w:val="0"/>
          <w:sz w:val="44"/>
          <w:szCs w:val="44"/>
          <w:u w:val="none"/>
          <w:lang w:val="en-US" w:eastAsia="zh-CN" w:bidi="ar"/>
        </w:rPr>
        <w:sectPr>
          <w:footerReference r:id="rId4" w:type="default"/>
          <w:pgSz w:w="11906" w:h="16838"/>
          <w:pgMar w:top="1587" w:right="1701" w:bottom="1474" w:left="1701" w:header="851" w:footer="992" w:gutter="0"/>
          <w:pgNumType w:fmt="decimal" w:start="1"/>
          <w:cols w:space="425" w:num="1"/>
          <w:docGrid w:type="lines" w:linePitch="312" w:charSpace="0"/>
        </w:sectPr>
      </w:pPr>
    </w:p>
    <w:tbl>
      <w:tblPr>
        <w:tblStyle w:val="5"/>
        <w:tblpPr w:leftFromText="180" w:rightFromText="180" w:vertAnchor="text" w:horzAnchor="page" w:tblpX="1857" w:tblpY="669"/>
        <w:tblOverlap w:val="never"/>
        <w:tblW w:w="846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73"/>
        <w:gridCol w:w="865"/>
        <w:gridCol w:w="1205"/>
        <w:gridCol w:w="2902"/>
        <w:gridCol w:w="1804"/>
        <w:gridCol w:w="9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9" w:hRule="atLeast"/>
        </w:trPr>
        <w:tc>
          <w:tcPr>
            <w:tcW w:w="8462" w:type="dxa"/>
            <w:gridSpan w:val="6"/>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ascii="黑体" w:hAnsi="宋体" w:eastAsia="黑体" w:cs="黑体"/>
                <w:i w:val="0"/>
                <w:iCs w:val="0"/>
                <w:color w:val="000000"/>
                <w:sz w:val="44"/>
                <w:szCs w:val="44"/>
                <w:u w:val="none"/>
              </w:rPr>
            </w:pPr>
            <w:r>
              <w:rPr>
                <w:rFonts w:hint="eastAsia" w:ascii="黑体" w:hAnsi="宋体" w:eastAsia="黑体" w:cs="黑体"/>
                <w:i w:val="0"/>
                <w:iCs w:val="0"/>
                <w:color w:val="000000"/>
                <w:kern w:val="0"/>
                <w:sz w:val="44"/>
                <w:szCs w:val="44"/>
                <w:u w:val="none"/>
                <w:lang w:val="en-US" w:eastAsia="zh-CN" w:bidi="ar"/>
              </w:rPr>
              <w:t>2024年部门预算专项业务经费绩效目标表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462" w:type="dxa"/>
            <w:gridSpan w:val="6"/>
            <w:tcBorders>
              <w:top w:val="nil"/>
              <w:left w:val="nil"/>
              <w:bottom w:val="nil"/>
              <w:right w:val="nil"/>
            </w:tcBorders>
            <w:shd w:val="clear" w:color="auto" w:fill="auto"/>
            <w:vAlign w:val="center"/>
          </w:tcPr>
          <w:p>
            <w:pPr>
              <w:keepNext w:val="0"/>
              <w:keepLines w:val="0"/>
              <w:pageBreakBefore w:val="0"/>
              <w:kinsoku/>
              <w:wordWrap/>
              <w:overflowPunct/>
              <w:topLinePunct w:val="0"/>
              <w:autoSpaceDE/>
              <w:autoSpaceDN/>
              <w:bidi w:val="0"/>
              <w:adjustRightInd/>
              <w:snapToGrid/>
              <w:spacing w:line="434" w:lineRule="exact"/>
              <w:jc w:val="center"/>
              <w:rPr>
                <w:rFonts w:hint="eastAsia" w:ascii="仿宋" w:hAnsi="仿宋" w:eastAsia="仿宋" w:cs="仿宋"/>
                <w:i w:val="0"/>
                <w:iCs w:val="0"/>
                <w:color w:val="000000"/>
                <w:sz w:val="26"/>
                <w:szCs w:val="2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28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项目名称</w:t>
            </w:r>
          </w:p>
        </w:tc>
        <w:tc>
          <w:tcPr>
            <w:tcW w:w="56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2024年城市最低生活保障资金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28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主管部门</w:t>
            </w:r>
          </w:p>
        </w:tc>
        <w:tc>
          <w:tcPr>
            <w:tcW w:w="56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西安市碑林区民政局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1" w:hRule="atLeast"/>
        </w:trPr>
        <w:tc>
          <w:tcPr>
            <w:tcW w:w="2843"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资金金额</w:t>
            </w:r>
          </w:p>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(万元)</w:t>
            </w:r>
          </w:p>
        </w:tc>
        <w:tc>
          <w:tcPr>
            <w:tcW w:w="2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实施期资金总额：</w:t>
            </w:r>
          </w:p>
        </w:tc>
        <w:tc>
          <w:tcPr>
            <w:tcW w:w="27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3498.00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284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2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其中：财政拨款</w:t>
            </w:r>
          </w:p>
        </w:tc>
        <w:tc>
          <w:tcPr>
            <w:tcW w:w="27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3498.00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6" w:hRule="atLeast"/>
        </w:trPr>
        <w:tc>
          <w:tcPr>
            <w:tcW w:w="284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2902"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其他资金</w:t>
            </w:r>
          </w:p>
        </w:tc>
        <w:tc>
          <w:tcPr>
            <w:tcW w:w="271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5" w:hRule="atLeast"/>
        </w:trPr>
        <w:tc>
          <w:tcPr>
            <w:tcW w:w="77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总体目标</w:t>
            </w:r>
          </w:p>
        </w:tc>
        <w:tc>
          <w:tcPr>
            <w:tcW w:w="7689"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both"/>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目标1：对符合条件的困难群众给予最低生活保障。</w:t>
            </w:r>
            <w:r>
              <w:rPr>
                <w:rFonts w:hint="eastAsia" w:ascii="仿宋_GB2312" w:hAnsi="仿宋_GB2312" w:eastAsia="仿宋_GB2312" w:cs="仿宋_GB2312"/>
                <w:color w:val="000000"/>
                <w:kern w:val="0"/>
                <w:sz w:val="24"/>
                <w:szCs w:val="24"/>
                <w:lang w:val="en-US" w:eastAsia="zh-CN" w:bidi="ar"/>
              </w:rPr>
              <w:tab/>
            </w:r>
            <w:r>
              <w:rPr>
                <w:rFonts w:hint="eastAsia" w:ascii="仿宋_GB2312" w:hAnsi="仿宋_GB2312" w:eastAsia="仿宋_GB2312" w:cs="仿宋_GB2312"/>
                <w:color w:val="000000"/>
                <w:kern w:val="0"/>
                <w:sz w:val="24"/>
                <w:szCs w:val="24"/>
                <w:lang w:val="en-US" w:eastAsia="zh-CN" w:bidi="ar"/>
              </w:rPr>
              <w:tab/>
            </w:r>
            <w:r>
              <w:rPr>
                <w:rFonts w:hint="eastAsia" w:ascii="仿宋_GB2312" w:hAnsi="仿宋_GB2312" w:eastAsia="仿宋_GB2312" w:cs="仿宋_GB2312"/>
                <w:color w:val="000000"/>
                <w:kern w:val="0"/>
                <w:sz w:val="24"/>
                <w:szCs w:val="24"/>
                <w:lang w:val="en-US" w:eastAsia="zh-CN" w:bidi="ar"/>
              </w:rPr>
              <w:tab/>
            </w:r>
            <w:r>
              <w:rPr>
                <w:rFonts w:hint="eastAsia" w:ascii="仿宋_GB2312" w:hAnsi="仿宋_GB2312" w:eastAsia="仿宋_GB2312" w:cs="仿宋_GB2312"/>
                <w:color w:val="000000"/>
                <w:kern w:val="0"/>
                <w:sz w:val="24"/>
                <w:szCs w:val="24"/>
                <w:lang w:val="en-US" w:eastAsia="zh-CN" w:bidi="ar"/>
              </w:rPr>
              <w:tab/>
            </w:r>
            <w:r>
              <w:rPr>
                <w:rFonts w:hint="eastAsia" w:ascii="仿宋_GB2312" w:hAnsi="仿宋_GB2312" w:eastAsia="仿宋_GB2312" w:cs="仿宋_GB2312"/>
                <w:color w:val="000000"/>
                <w:kern w:val="0"/>
                <w:sz w:val="24"/>
                <w:szCs w:val="24"/>
                <w:lang w:val="en-US" w:eastAsia="zh-CN" w:bidi="ar"/>
              </w:rPr>
              <w:t xml:space="preserve">         目标2：应保尽保、公平公正、动态管理。</w:t>
            </w:r>
            <w:r>
              <w:rPr>
                <w:rFonts w:hint="eastAsia" w:ascii="仿宋_GB2312" w:hAnsi="仿宋_GB2312" w:eastAsia="仿宋_GB2312" w:cs="仿宋_GB2312"/>
                <w:color w:val="000000"/>
                <w:kern w:val="0"/>
                <w:sz w:val="24"/>
                <w:szCs w:val="24"/>
                <w:lang w:val="en-US" w:eastAsia="zh-CN" w:bidi="ar"/>
              </w:rPr>
              <w:tab/>
            </w:r>
            <w:r>
              <w:rPr>
                <w:rFonts w:hint="eastAsia" w:ascii="仿宋_GB2312" w:hAnsi="仿宋_GB2312" w:eastAsia="仿宋_GB2312" w:cs="仿宋_GB2312"/>
                <w:color w:val="000000"/>
                <w:kern w:val="0"/>
                <w:sz w:val="24"/>
                <w:szCs w:val="24"/>
                <w:lang w:val="en-US" w:eastAsia="zh-CN" w:bidi="ar"/>
              </w:rPr>
              <w:tab/>
            </w:r>
            <w:r>
              <w:rPr>
                <w:rFonts w:hint="eastAsia" w:ascii="仿宋_GB2312" w:hAnsi="仿宋_GB2312" w:eastAsia="仿宋_GB2312" w:cs="仿宋_GB2312"/>
                <w:color w:val="000000"/>
                <w:kern w:val="0"/>
                <w:sz w:val="24"/>
                <w:szCs w:val="24"/>
                <w:lang w:val="en-US" w:eastAsia="zh-CN" w:bidi="ar"/>
              </w:rPr>
              <w:tab/>
            </w:r>
            <w:r>
              <w:rPr>
                <w:rFonts w:hint="eastAsia" w:ascii="仿宋_GB2312" w:hAnsi="仿宋_GB2312" w:eastAsia="仿宋_GB2312" w:cs="仿宋_GB2312"/>
                <w:color w:val="000000"/>
                <w:kern w:val="0"/>
                <w:sz w:val="24"/>
                <w:szCs w:val="24"/>
                <w:lang w:val="en-US" w:eastAsia="zh-CN" w:bidi="ar"/>
              </w:rPr>
              <w:tab/>
            </w:r>
            <w:r>
              <w:rPr>
                <w:rFonts w:hint="eastAsia" w:ascii="仿宋_GB2312" w:hAnsi="仿宋_GB2312" w:eastAsia="仿宋_GB2312" w:cs="仿宋_GB2312"/>
                <w:color w:val="000000"/>
                <w:kern w:val="0"/>
                <w:sz w:val="24"/>
                <w:szCs w:val="24"/>
                <w:lang w:val="en-US" w:eastAsia="zh-CN" w:bidi="ar"/>
              </w:rPr>
              <w:tab/>
            </w:r>
            <w:r>
              <w:rPr>
                <w:rFonts w:hint="eastAsia" w:ascii="仿宋_GB2312" w:hAnsi="仿宋_GB2312" w:eastAsia="仿宋_GB2312" w:cs="仿宋_GB2312"/>
                <w:color w:val="000000"/>
                <w:kern w:val="0"/>
                <w:sz w:val="24"/>
                <w:szCs w:val="24"/>
                <w:lang w:val="en-US" w:eastAsia="zh-CN" w:bidi="ar"/>
              </w:rPr>
              <w:tab/>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5" w:hRule="atLeast"/>
        </w:trPr>
        <w:tc>
          <w:tcPr>
            <w:tcW w:w="77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689"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77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689"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2" w:hRule="atLeast"/>
        </w:trPr>
        <w:tc>
          <w:tcPr>
            <w:tcW w:w="7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年度绩效指标</w:t>
            </w:r>
          </w:p>
        </w:tc>
        <w:tc>
          <w:tcPr>
            <w:tcW w:w="86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一级指标</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二级指标</w:t>
            </w:r>
          </w:p>
        </w:tc>
        <w:tc>
          <w:tcPr>
            <w:tcW w:w="2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指标内容</w:t>
            </w:r>
          </w:p>
        </w:tc>
        <w:tc>
          <w:tcPr>
            <w:tcW w:w="1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指标值</w:t>
            </w:r>
          </w:p>
        </w:tc>
        <w:tc>
          <w:tcPr>
            <w:tcW w:w="913"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4" w:hRule="atLeast"/>
        </w:trPr>
        <w:tc>
          <w:tcPr>
            <w:tcW w:w="7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产出指标</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数量指标</w:t>
            </w:r>
          </w:p>
        </w:tc>
        <w:tc>
          <w:tcPr>
            <w:tcW w:w="2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left"/>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城市最低生活保障人数</w:t>
            </w:r>
          </w:p>
        </w:tc>
        <w:tc>
          <w:tcPr>
            <w:tcW w:w="1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4500人</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0" w:hRule="atLeast"/>
        </w:trPr>
        <w:tc>
          <w:tcPr>
            <w:tcW w:w="7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质量指标</w:t>
            </w:r>
          </w:p>
        </w:tc>
        <w:tc>
          <w:tcPr>
            <w:tcW w:w="2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城市最低生活保障资金发放及时率</w:t>
            </w:r>
          </w:p>
        </w:tc>
        <w:tc>
          <w:tcPr>
            <w:tcW w:w="1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100%</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8" w:hRule="atLeast"/>
        </w:trPr>
        <w:tc>
          <w:tcPr>
            <w:tcW w:w="7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时效指标</w:t>
            </w:r>
          </w:p>
        </w:tc>
        <w:tc>
          <w:tcPr>
            <w:tcW w:w="2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城市最低生活保障资金发放时间</w:t>
            </w:r>
          </w:p>
        </w:tc>
        <w:tc>
          <w:tcPr>
            <w:tcW w:w="1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2024年1-12月  （每月）</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4" w:hRule="atLeast"/>
        </w:trPr>
        <w:tc>
          <w:tcPr>
            <w:tcW w:w="7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成本指标</w:t>
            </w:r>
          </w:p>
        </w:tc>
        <w:tc>
          <w:tcPr>
            <w:tcW w:w="2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城市最低生活保障资金发放标准</w:t>
            </w:r>
          </w:p>
        </w:tc>
        <w:tc>
          <w:tcPr>
            <w:tcW w:w="1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人均补差910元（含分类施保）</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2" w:hRule="atLeast"/>
        </w:trPr>
        <w:tc>
          <w:tcPr>
            <w:tcW w:w="7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效益指标</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经济效益 指标</w:t>
            </w:r>
          </w:p>
        </w:tc>
        <w:tc>
          <w:tcPr>
            <w:tcW w:w="2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1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6" w:hRule="atLeast"/>
        </w:trPr>
        <w:tc>
          <w:tcPr>
            <w:tcW w:w="7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社会效益 指标</w:t>
            </w:r>
          </w:p>
        </w:tc>
        <w:tc>
          <w:tcPr>
            <w:tcW w:w="2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保障城市最低生活保障人员基本生活</w:t>
            </w:r>
          </w:p>
        </w:tc>
        <w:tc>
          <w:tcPr>
            <w:tcW w:w="1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有效保障</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9" w:hRule="atLeast"/>
        </w:trPr>
        <w:tc>
          <w:tcPr>
            <w:tcW w:w="7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生态效益 指标</w:t>
            </w:r>
          </w:p>
        </w:tc>
        <w:tc>
          <w:tcPr>
            <w:tcW w:w="2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1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trPr>
        <w:tc>
          <w:tcPr>
            <w:tcW w:w="7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可持续影响指标</w:t>
            </w:r>
          </w:p>
        </w:tc>
        <w:tc>
          <w:tcPr>
            <w:tcW w:w="2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有效保障最低生活保障人员基本权益作用年限</w:t>
            </w:r>
          </w:p>
        </w:tc>
        <w:tc>
          <w:tcPr>
            <w:tcW w:w="1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≥1年</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1" w:hRule="atLeast"/>
        </w:trPr>
        <w:tc>
          <w:tcPr>
            <w:tcW w:w="7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满意度指标</w:t>
            </w:r>
          </w:p>
        </w:tc>
        <w:tc>
          <w:tcPr>
            <w:tcW w:w="12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服务对象满意度指标</w:t>
            </w:r>
          </w:p>
        </w:tc>
        <w:tc>
          <w:tcPr>
            <w:tcW w:w="29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城市最低生活保障人员满意度</w:t>
            </w:r>
          </w:p>
        </w:tc>
        <w:tc>
          <w:tcPr>
            <w:tcW w:w="18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≥95%</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bl>
    <w:p>
      <w:pPr>
        <w:keepNext w:val="0"/>
        <w:keepLines w:val="0"/>
        <w:widowControl/>
        <w:suppressLineNumbers w:val="0"/>
        <w:jc w:val="left"/>
        <w:rPr>
          <w:rFonts w:hint="eastAsia" w:ascii="华文楷体" w:hAnsi="华文楷体" w:eastAsia="华文楷体" w:cs="华文楷体"/>
          <w:color w:val="000000"/>
          <w:kern w:val="0"/>
          <w:sz w:val="30"/>
          <w:szCs w:val="30"/>
          <w:u w:val="none"/>
          <w:lang w:val="en-US" w:eastAsia="zh-CN" w:bidi="ar"/>
        </w:rPr>
      </w:pPr>
      <w:r>
        <w:rPr>
          <w:rFonts w:hint="eastAsia" w:ascii="华文楷体" w:hAnsi="华文楷体" w:eastAsia="华文楷体" w:cs="华文楷体"/>
          <w:color w:val="000000"/>
          <w:kern w:val="0"/>
          <w:sz w:val="30"/>
          <w:szCs w:val="30"/>
          <w:u w:val="none"/>
          <w:lang w:val="en-US" w:eastAsia="zh-CN" w:bidi="ar"/>
        </w:rPr>
        <w:t>01-</w:t>
      </w:r>
      <w:r>
        <w:rPr>
          <w:rFonts w:hint="eastAsia" w:ascii="华文楷体" w:hAnsi="华文楷体" w:eastAsia="华文楷体" w:cs="华文楷体"/>
          <w:color w:val="000000"/>
          <w:kern w:val="0"/>
          <w:sz w:val="30"/>
          <w:szCs w:val="30"/>
          <w:u w:val="single"/>
          <w:lang w:val="en-US" w:eastAsia="zh-CN" w:bidi="ar"/>
        </w:rPr>
        <w:t>社会救助和管理补助</w:t>
      </w:r>
      <w:r>
        <w:rPr>
          <w:rFonts w:hint="eastAsia" w:ascii="华文楷体" w:hAnsi="华文楷体" w:eastAsia="华文楷体" w:cs="华文楷体"/>
          <w:color w:val="000000"/>
          <w:kern w:val="0"/>
          <w:sz w:val="30"/>
          <w:szCs w:val="30"/>
          <w:u w:val="none"/>
          <w:lang w:val="en-US" w:eastAsia="zh-CN" w:bidi="ar"/>
        </w:rPr>
        <w:t>领域</w:t>
      </w:r>
      <w:bookmarkStart w:id="0" w:name="_GoBack"/>
      <w:bookmarkEnd w:id="0"/>
    </w:p>
    <w:tbl>
      <w:tblPr>
        <w:tblStyle w:val="5"/>
        <w:tblpPr w:leftFromText="180" w:rightFromText="180" w:vertAnchor="text" w:horzAnchor="page" w:tblpX="1869" w:tblpY="700"/>
        <w:tblOverlap w:val="never"/>
        <w:tblW w:w="847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65"/>
        <w:gridCol w:w="856"/>
        <w:gridCol w:w="1196"/>
        <w:gridCol w:w="3020"/>
        <w:gridCol w:w="1963"/>
        <w:gridCol w:w="6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8475" w:type="dxa"/>
            <w:gridSpan w:val="6"/>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ascii="黑体" w:hAnsi="宋体" w:eastAsia="黑体" w:cs="黑体"/>
                <w:i w:val="0"/>
                <w:iCs w:val="0"/>
                <w:color w:val="000000"/>
                <w:sz w:val="44"/>
                <w:szCs w:val="44"/>
                <w:u w:val="none"/>
              </w:rPr>
            </w:pPr>
            <w:r>
              <w:rPr>
                <w:rFonts w:hint="eastAsia" w:ascii="黑体" w:hAnsi="宋体" w:eastAsia="黑体" w:cs="黑体"/>
                <w:i w:val="0"/>
                <w:iCs w:val="0"/>
                <w:color w:val="000000"/>
                <w:kern w:val="0"/>
                <w:sz w:val="44"/>
                <w:szCs w:val="44"/>
                <w:u w:val="none"/>
                <w:lang w:val="en-US" w:eastAsia="zh-CN" w:bidi="ar"/>
              </w:rPr>
              <w:t>2024年部门预算专项业务经费绩效目标表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8475" w:type="dxa"/>
            <w:gridSpan w:val="6"/>
            <w:tcBorders>
              <w:top w:val="nil"/>
              <w:left w:val="nil"/>
              <w:bottom w:val="nil"/>
              <w:right w:val="nil"/>
            </w:tcBorders>
            <w:shd w:val="clear" w:color="auto" w:fill="auto"/>
            <w:vAlign w:val="center"/>
          </w:tcPr>
          <w:p>
            <w:pPr>
              <w:keepNext w:val="0"/>
              <w:keepLines w:val="0"/>
              <w:pageBreakBefore w:val="0"/>
              <w:kinsoku/>
              <w:wordWrap/>
              <w:overflowPunct/>
              <w:topLinePunct w:val="0"/>
              <w:autoSpaceDE/>
              <w:autoSpaceDN/>
              <w:bidi w:val="0"/>
              <w:adjustRightInd/>
              <w:snapToGrid/>
              <w:spacing w:line="434" w:lineRule="exact"/>
              <w:jc w:val="center"/>
              <w:rPr>
                <w:rFonts w:hint="eastAsia" w:ascii="仿宋" w:hAnsi="仿宋" w:eastAsia="仿宋" w:cs="仿宋"/>
                <w:i w:val="0"/>
                <w:iCs w:val="0"/>
                <w:color w:val="000000"/>
                <w:sz w:val="26"/>
                <w:szCs w:val="2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28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项目名称</w:t>
            </w:r>
          </w:p>
        </w:tc>
        <w:tc>
          <w:tcPr>
            <w:tcW w:w="56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居民养老保险补助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6" w:hRule="atLeast"/>
        </w:trPr>
        <w:tc>
          <w:tcPr>
            <w:tcW w:w="28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主管部门</w:t>
            </w:r>
          </w:p>
        </w:tc>
        <w:tc>
          <w:tcPr>
            <w:tcW w:w="565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西安市碑林区民政局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2817"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资金金额</w:t>
            </w:r>
          </w:p>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(万元)</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实施期资金总额：</w:t>
            </w:r>
          </w:p>
        </w:tc>
        <w:tc>
          <w:tcPr>
            <w:tcW w:w="26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920.12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6" w:hRule="atLeast"/>
        </w:trPr>
        <w:tc>
          <w:tcPr>
            <w:tcW w:w="281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其中：财政拨款</w:t>
            </w:r>
          </w:p>
        </w:tc>
        <w:tc>
          <w:tcPr>
            <w:tcW w:w="26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920.12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7" w:hRule="atLeast"/>
        </w:trPr>
        <w:tc>
          <w:tcPr>
            <w:tcW w:w="281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3020"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其他资金</w:t>
            </w:r>
          </w:p>
        </w:tc>
        <w:tc>
          <w:tcPr>
            <w:tcW w:w="26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总体目标</w:t>
            </w:r>
          </w:p>
        </w:tc>
        <w:tc>
          <w:tcPr>
            <w:tcW w:w="7710"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按照市政发[2014]38号文件规定，进一步完善城乡居民基本养老保险制度，促进城乡统筹协调发展。实现养老保险全社会无缝隙全覆盖，从而达到维护社会稳定、政治进步，促进经济发展，乃至完善社会保障制度的目标。</w:t>
            </w:r>
            <w:r>
              <w:rPr>
                <w:rFonts w:hint="eastAsia" w:ascii="仿宋_GB2312" w:hAnsi="仿宋_GB2312" w:eastAsia="仿宋_GB2312" w:cs="仿宋_GB2312"/>
                <w:color w:val="000000"/>
                <w:kern w:val="0"/>
                <w:sz w:val="24"/>
                <w:szCs w:val="24"/>
                <w:lang w:val="en-US" w:eastAsia="zh-CN" w:bidi="ar"/>
              </w:rPr>
              <w:tab/>
            </w:r>
            <w:r>
              <w:rPr>
                <w:rFonts w:hint="eastAsia" w:ascii="仿宋_GB2312" w:hAnsi="仿宋_GB2312" w:eastAsia="仿宋_GB2312" w:cs="仿宋_GB2312"/>
                <w:color w:val="000000"/>
                <w:kern w:val="0"/>
                <w:sz w:val="24"/>
                <w:szCs w:val="24"/>
                <w:lang w:val="en-US" w:eastAsia="zh-CN" w:bidi="ar"/>
              </w:rPr>
              <w:tab/>
            </w:r>
            <w:r>
              <w:rPr>
                <w:rFonts w:hint="eastAsia" w:ascii="仿宋_GB2312" w:hAnsi="仿宋_GB2312" w:eastAsia="仿宋_GB2312" w:cs="仿宋_GB2312"/>
                <w:color w:val="000000"/>
                <w:kern w:val="0"/>
                <w:sz w:val="24"/>
                <w:szCs w:val="24"/>
                <w:lang w:val="en-US" w:eastAsia="zh-CN" w:bidi="ar"/>
              </w:rPr>
              <w:tab/>
            </w:r>
            <w:r>
              <w:rPr>
                <w:rFonts w:hint="eastAsia" w:ascii="仿宋_GB2312" w:hAnsi="仿宋_GB2312" w:eastAsia="仿宋_GB2312" w:cs="仿宋_GB2312"/>
                <w:color w:val="000000"/>
                <w:kern w:val="0"/>
                <w:sz w:val="24"/>
                <w:szCs w:val="24"/>
                <w:lang w:val="en-US" w:eastAsia="zh-CN" w:bidi="ar"/>
              </w:rPr>
              <w:tab/>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710"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2"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710"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4" w:hRule="atLeast"/>
        </w:trPr>
        <w:tc>
          <w:tcPr>
            <w:tcW w:w="76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年度绩效指标</w:t>
            </w:r>
          </w:p>
        </w:tc>
        <w:tc>
          <w:tcPr>
            <w:tcW w:w="856"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一级指标</w:t>
            </w:r>
          </w:p>
        </w:tc>
        <w:tc>
          <w:tcPr>
            <w:tcW w:w="1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二级指标</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指标内容</w:t>
            </w:r>
          </w:p>
        </w:tc>
        <w:tc>
          <w:tcPr>
            <w:tcW w:w="19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指标值</w:t>
            </w:r>
          </w:p>
        </w:tc>
        <w:tc>
          <w:tcPr>
            <w:tcW w:w="675"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2"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产出指标</w:t>
            </w:r>
          </w:p>
        </w:tc>
        <w:tc>
          <w:tcPr>
            <w:tcW w:w="1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数量指标</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拨居民养老保险基金财政补助人数</w:t>
            </w:r>
          </w:p>
        </w:tc>
        <w:tc>
          <w:tcPr>
            <w:tcW w:w="19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47196人</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质量指标</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发放对象准确率</w:t>
            </w:r>
          </w:p>
        </w:tc>
        <w:tc>
          <w:tcPr>
            <w:tcW w:w="19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100%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4"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时效指标</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待遇发放时间</w:t>
            </w:r>
          </w:p>
        </w:tc>
        <w:tc>
          <w:tcPr>
            <w:tcW w:w="19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2024年1-12月</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3"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196"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成本指标</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人均补贴标准</w:t>
            </w:r>
          </w:p>
        </w:tc>
        <w:tc>
          <w:tcPr>
            <w:tcW w:w="19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194.96元/人次</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7"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效益指标</w:t>
            </w:r>
          </w:p>
        </w:tc>
        <w:tc>
          <w:tcPr>
            <w:tcW w:w="1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经济效益 指标</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19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5"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社会效益 指标</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不断提高居民生活质量</w:t>
            </w:r>
          </w:p>
        </w:tc>
        <w:tc>
          <w:tcPr>
            <w:tcW w:w="19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效果显著</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9"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生态效益 指标</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19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4"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可持续影响指标</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实现养老保险全社会无缝隙全覆盖</w:t>
            </w:r>
          </w:p>
        </w:tc>
        <w:tc>
          <w:tcPr>
            <w:tcW w:w="19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≥1年</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8" w:hRule="atLeast"/>
        </w:trPr>
        <w:tc>
          <w:tcPr>
            <w:tcW w:w="76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56"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满意度指标</w:t>
            </w:r>
          </w:p>
        </w:tc>
        <w:tc>
          <w:tcPr>
            <w:tcW w:w="11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服务对象满意度指标</w:t>
            </w: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参保群体满意度</w:t>
            </w:r>
          </w:p>
        </w:tc>
        <w:tc>
          <w:tcPr>
            <w:tcW w:w="19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≥90%</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bl>
    <w:p>
      <w:pPr>
        <w:keepNext w:val="0"/>
        <w:keepLines w:val="0"/>
        <w:widowControl/>
        <w:suppressLineNumbers w:val="0"/>
        <w:jc w:val="left"/>
        <w:rPr>
          <w:rFonts w:hint="eastAsia" w:ascii="华文楷体" w:hAnsi="华文楷体" w:eastAsia="华文楷体" w:cs="华文楷体"/>
          <w:color w:val="000000"/>
          <w:kern w:val="0"/>
          <w:sz w:val="30"/>
          <w:szCs w:val="30"/>
          <w:u w:val="none"/>
          <w:lang w:val="en-US" w:eastAsia="zh-CN" w:bidi="ar"/>
        </w:rPr>
      </w:pPr>
      <w:r>
        <w:rPr>
          <w:rFonts w:hint="eastAsia" w:ascii="华文楷体" w:hAnsi="华文楷体" w:eastAsia="华文楷体" w:cs="华文楷体"/>
          <w:color w:val="000000"/>
          <w:kern w:val="0"/>
          <w:sz w:val="30"/>
          <w:szCs w:val="30"/>
          <w:u w:val="none"/>
          <w:lang w:val="en-US" w:eastAsia="zh-CN" w:bidi="ar"/>
        </w:rPr>
        <w:t>02-</w:t>
      </w:r>
      <w:r>
        <w:rPr>
          <w:rFonts w:hint="eastAsia" w:ascii="华文楷体" w:hAnsi="华文楷体" w:eastAsia="华文楷体" w:cs="华文楷体"/>
          <w:color w:val="000000"/>
          <w:kern w:val="0"/>
          <w:sz w:val="30"/>
          <w:szCs w:val="30"/>
          <w:u w:val="single"/>
          <w:lang w:val="en-US" w:eastAsia="zh-CN" w:bidi="ar"/>
        </w:rPr>
        <w:t>社会保险</w:t>
      </w:r>
      <w:r>
        <w:rPr>
          <w:rFonts w:hint="eastAsia" w:ascii="华文楷体" w:hAnsi="华文楷体" w:eastAsia="华文楷体" w:cs="华文楷体"/>
          <w:color w:val="000000"/>
          <w:kern w:val="0"/>
          <w:sz w:val="30"/>
          <w:szCs w:val="30"/>
          <w:u w:val="none"/>
          <w:lang w:val="en-US" w:eastAsia="zh-CN" w:bidi="ar"/>
        </w:rPr>
        <w:t>领域</w:t>
      </w:r>
    </w:p>
    <w:tbl>
      <w:tblPr>
        <w:tblStyle w:val="5"/>
        <w:tblpPr w:leftFromText="180" w:rightFromText="180" w:vertAnchor="text" w:horzAnchor="page" w:tblpX="1869" w:tblpY="875"/>
        <w:tblOverlap w:val="never"/>
        <w:tblW w:w="845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0"/>
        <w:gridCol w:w="720"/>
        <w:gridCol w:w="1212"/>
        <w:gridCol w:w="3038"/>
        <w:gridCol w:w="2000"/>
        <w:gridCol w:w="7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3" w:hRule="atLeast"/>
        </w:trPr>
        <w:tc>
          <w:tcPr>
            <w:tcW w:w="8450" w:type="dxa"/>
            <w:gridSpan w:val="6"/>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ascii="黑体" w:hAnsi="宋体" w:eastAsia="黑体" w:cs="黑体"/>
                <w:i w:val="0"/>
                <w:iCs w:val="0"/>
                <w:color w:val="000000"/>
                <w:sz w:val="44"/>
                <w:szCs w:val="44"/>
                <w:u w:val="none"/>
              </w:rPr>
            </w:pPr>
            <w:r>
              <w:rPr>
                <w:rFonts w:hint="eastAsia" w:ascii="黑体" w:hAnsi="宋体" w:eastAsia="黑体" w:cs="黑体"/>
                <w:i w:val="0"/>
                <w:iCs w:val="0"/>
                <w:color w:val="000000"/>
                <w:kern w:val="0"/>
                <w:sz w:val="44"/>
                <w:szCs w:val="44"/>
                <w:u w:val="none"/>
                <w:lang w:val="en-US" w:eastAsia="zh-CN" w:bidi="ar"/>
              </w:rPr>
              <w:t>2024年部门预算专项业务经费绩效目标表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450" w:type="dxa"/>
            <w:gridSpan w:val="6"/>
            <w:tcBorders>
              <w:top w:val="nil"/>
              <w:left w:val="nil"/>
              <w:bottom w:val="nil"/>
              <w:right w:val="nil"/>
            </w:tcBorders>
            <w:shd w:val="clear" w:color="auto" w:fill="auto"/>
            <w:vAlign w:val="center"/>
          </w:tcPr>
          <w:p>
            <w:pPr>
              <w:keepNext w:val="0"/>
              <w:keepLines w:val="0"/>
              <w:pageBreakBefore w:val="0"/>
              <w:kinsoku/>
              <w:wordWrap/>
              <w:overflowPunct/>
              <w:topLinePunct w:val="0"/>
              <w:autoSpaceDE/>
              <w:autoSpaceDN/>
              <w:bidi w:val="0"/>
              <w:adjustRightInd/>
              <w:snapToGrid/>
              <w:spacing w:line="434" w:lineRule="exact"/>
              <w:jc w:val="center"/>
              <w:rPr>
                <w:rFonts w:hint="eastAsia" w:ascii="仿宋" w:hAnsi="仿宋" w:eastAsia="仿宋" w:cs="仿宋"/>
                <w:i w:val="0"/>
                <w:iCs w:val="0"/>
                <w:color w:val="000000"/>
                <w:sz w:val="26"/>
                <w:szCs w:val="2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7" w:hRule="atLeast"/>
        </w:trPr>
        <w:tc>
          <w:tcPr>
            <w:tcW w:w="271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项目名称</w:t>
            </w:r>
          </w:p>
        </w:tc>
        <w:tc>
          <w:tcPr>
            <w:tcW w:w="57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碑林区国资监管信息系统建设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7" w:hRule="atLeast"/>
        </w:trPr>
        <w:tc>
          <w:tcPr>
            <w:tcW w:w="271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主管部门</w:t>
            </w:r>
          </w:p>
        </w:tc>
        <w:tc>
          <w:tcPr>
            <w:tcW w:w="573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西安市碑林区国有资产管理局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7" w:hRule="atLeast"/>
        </w:trPr>
        <w:tc>
          <w:tcPr>
            <w:tcW w:w="2712"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资金金额</w:t>
            </w:r>
          </w:p>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(万元)</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实施期资金总额：</w:t>
            </w:r>
          </w:p>
        </w:tc>
        <w:tc>
          <w:tcPr>
            <w:tcW w:w="27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129.98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7" w:hRule="atLeast"/>
        </w:trPr>
        <w:tc>
          <w:tcPr>
            <w:tcW w:w="271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其中：财政拨款</w:t>
            </w:r>
          </w:p>
        </w:tc>
        <w:tc>
          <w:tcPr>
            <w:tcW w:w="27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129.98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271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3038"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其他资金</w:t>
            </w:r>
          </w:p>
        </w:tc>
        <w:tc>
          <w:tcPr>
            <w:tcW w:w="27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总体目标</w:t>
            </w:r>
          </w:p>
        </w:tc>
        <w:tc>
          <w:tcPr>
            <w:tcW w:w="7670"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为落实《西安市深化国资国企改革行动实施方案》《碑林区深化国资国企改革行动实施方案》，提高国资监管信息化水平，加快以“管资本”为主的国有资产监管职能转变。国资监管相关业务工作将通过监管系统实现网上办理和报送。</w:t>
            </w:r>
            <w:r>
              <w:rPr>
                <w:rFonts w:hint="eastAsia" w:ascii="仿宋_GB2312" w:hAnsi="仿宋_GB2312" w:eastAsia="仿宋_GB2312" w:cs="仿宋_GB2312"/>
                <w:color w:val="000000"/>
                <w:kern w:val="0"/>
                <w:sz w:val="24"/>
                <w:szCs w:val="24"/>
                <w:lang w:val="en-US" w:eastAsia="zh-CN" w:bidi="ar"/>
              </w:rPr>
              <w:tab/>
            </w:r>
            <w:r>
              <w:rPr>
                <w:rFonts w:hint="eastAsia" w:ascii="仿宋_GB2312" w:hAnsi="仿宋_GB2312" w:eastAsia="仿宋_GB2312" w:cs="仿宋_GB2312"/>
                <w:color w:val="000000"/>
                <w:kern w:val="0"/>
                <w:sz w:val="24"/>
                <w:szCs w:val="24"/>
                <w:lang w:val="en-US" w:eastAsia="zh-CN" w:bidi="ar"/>
              </w:rPr>
              <w:tab/>
            </w:r>
            <w:r>
              <w:rPr>
                <w:rFonts w:hint="eastAsia" w:ascii="仿宋_GB2312" w:hAnsi="仿宋_GB2312" w:eastAsia="仿宋_GB2312" w:cs="仿宋_GB2312"/>
                <w:color w:val="000000"/>
                <w:kern w:val="0"/>
                <w:sz w:val="24"/>
                <w:szCs w:val="24"/>
                <w:lang w:val="en-US" w:eastAsia="zh-CN" w:bidi="ar"/>
              </w:rPr>
              <w:tab/>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1" w:hRule="atLeast"/>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670"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670"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3" w:hRule="atLeast"/>
        </w:trPr>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年度绩效指标</w:t>
            </w:r>
          </w:p>
        </w:tc>
        <w:tc>
          <w:tcPr>
            <w:tcW w:w="720"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一级指标</w:t>
            </w: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二级指标</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指标内容</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指标值</w:t>
            </w:r>
          </w:p>
        </w:tc>
        <w:tc>
          <w:tcPr>
            <w:tcW w:w="70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8" w:hRule="atLeast"/>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产出指标</w:t>
            </w:r>
          </w:p>
        </w:tc>
        <w:tc>
          <w:tcPr>
            <w:tcW w:w="1212"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数量指标</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left"/>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建设平台数量</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2个</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3" w:hRule="atLeast"/>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20"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建设模块数量</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5个</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质量指标</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实现国资数据平台采集交换率</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100%</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5" w:hRule="atLeast"/>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时效指标</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系统建设项目执行时间</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2024年1-12月</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1" w:hRule="atLeast"/>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成本指标</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软件成本</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104万元</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4" w:hRule="atLeast"/>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硬件成本</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25.98万元</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9" w:hRule="atLeast"/>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效益指标</w:t>
            </w: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经济效益 指标</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3" w:hRule="atLeast"/>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社会效益 指标</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保障机关全面运转，提高工作效率</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全面保障</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7" w:hRule="atLeast"/>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生态效益 指标</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7" w:hRule="atLeast"/>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可持续影响指标</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软件运行持续发挥作用</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≥1年</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7" w:hRule="atLeast"/>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仿宋_GB2312" w:hAnsi="仿宋_GB2312" w:eastAsia="仿宋_GB2312" w:cs="仿宋_GB2312"/>
                <w:color w:val="000000"/>
                <w:kern w:val="0"/>
                <w:sz w:val="24"/>
                <w:szCs w:val="24"/>
                <w:lang w:val="en-US" w:eastAsia="zh-CN" w:bidi="ar"/>
              </w:rPr>
            </w:pPr>
            <w:r>
              <w:rPr>
                <w:rFonts w:hint="default" w:ascii="仿宋_GB2312" w:hAnsi="仿宋_GB2312" w:eastAsia="仿宋_GB2312" w:cs="仿宋_GB2312"/>
                <w:color w:val="000000"/>
                <w:kern w:val="0"/>
                <w:sz w:val="24"/>
                <w:szCs w:val="24"/>
                <w:lang w:val="en-US" w:eastAsia="zh-CN" w:bidi="ar"/>
              </w:rPr>
              <w:t>发挥国资</w:t>
            </w:r>
            <w:r>
              <w:rPr>
                <w:rFonts w:hint="eastAsia" w:ascii="仿宋_GB2312" w:hAnsi="仿宋_GB2312" w:eastAsia="仿宋_GB2312" w:cs="仿宋_GB2312"/>
                <w:color w:val="000000"/>
                <w:kern w:val="0"/>
                <w:sz w:val="24"/>
                <w:szCs w:val="24"/>
                <w:lang w:val="en-US" w:eastAsia="zh-CN" w:bidi="ar"/>
              </w:rPr>
              <w:t>智能化</w:t>
            </w:r>
            <w:r>
              <w:rPr>
                <w:rFonts w:hint="default" w:ascii="仿宋_GB2312" w:hAnsi="仿宋_GB2312" w:eastAsia="仿宋_GB2312" w:cs="仿宋_GB2312"/>
                <w:color w:val="000000"/>
                <w:kern w:val="0"/>
                <w:sz w:val="24"/>
                <w:szCs w:val="24"/>
                <w:lang w:val="en-US" w:eastAsia="zh-CN" w:bidi="ar"/>
              </w:rPr>
              <w:t>监管效能</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≥1年</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5" w:hRule="atLeast"/>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2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满意度指标</w:t>
            </w: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服务对象满意度指标</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监管单位满意度</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≥95%</w:t>
            </w:r>
          </w:p>
        </w:tc>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bl>
    <w:p>
      <w:pPr>
        <w:keepNext w:val="0"/>
        <w:keepLines w:val="0"/>
        <w:widowControl/>
        <w:suppressLineNumbers w:val="0"/>
        <w:jc w:val="left"/>
        <w:rPr>
          <w:rFonts w:hint="eastAsia" w:ascii="华文楷体" w:hAnsi="华文楷体" w:eastAsia="华文楷体" w:cs="华文楷体"/>
          <w:color w:val="000000"/>
          <w:kern w:val="0"/>
          <w:sz w:val="30"/>
          <w:szCs w:val="30"/>
          <w:u w:val="none"/>
          <w:lang w:val="en-US" w:eastAsia="zh-CN" w:bidi="ar"/>
        </w:rPr>
      </w:pPr>
      <w:r>
        <w:rPr>
          <w:rFonts w:hint="eastAsia" w:ascii="华文楷体" w:hAnsi="华文楷体" w:eastAsia="华文楷体" w:cs="华文楷体"/>
          <w:color w:val="000000"/>
          <w:kern w:val="0"/>
          <w:sz w:val="30"/>
          <w:szCs w:val="30"/>
          <w:u w:val="none"/>
          <w:lang w:val="en-US" w:eastAsia="zh-CN" w:bidi="ar"/>
        </w:rPr>
        <w:t>03-</w:t>
      </w:r>
      <w:r>
        <w:rPr>
          <w:rFonts w:hint="eastAsia" w:ascii="华文楷体" w:hAnsi="华文楷体" w:eastAsia="华文楷体" w:cs="华文楷体"/>
          <w:color w:val="000000"/>
          <w:kern w:val="0"/>
          <w:sz w:val="30"/>
          <w:szCs w:val="30"/>
          <w:u w:val="single"/>
          <w:lang w:val="en-US" w:eastAsia="zh-CN" w:bidi="ar"/>
        </w:rPr>
        <w:t>信息化建设发展</w:t>
      </w:r>
      <w:r>
        <w:rPr>
          <w:rFonts w:hint="eastAsia" w:ascii="华文楷体" w:hAnsi="华文楷体" w:eastAsia="华文楷体" w:cs="华文楷体"/>
          <w:color w:val="000000"/>
          <w:kern w:val="0"/>
          <w:sz w:val="30"/>
          <w:szCs w:val="30"/>
          <w:u w:val="none"/>
          <w:lang w:val="en-US" w:eastAsia="zh-CN" w:bidi="ar"/>
        </w:rPr>
        <w:t>领域</w:t>
      </w:r>
    </w:p>
    <w:tbl>
      <w:tblPr>
        <w:tblStyle w:val="5"/>
        <w:tblpPr w:leftFromText="180" w:rightFromText="180" w:vertAnchor="text" w:horzAnchor="page" w:tblpX="1869" w:tblpY="844"/>
        <w:tblOverlap w:val="never"/>
        <w:tblW w:w="848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78"/>
        <w:gridCol w:w="718"/>
        <w:gridCol w:w="1209"/>
        <w:gridCol w:w="3195"/>
        <w:gridCol w:w="1800"/>
        <w:gridCol w:w="7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7" w:hRule="atLeast"/>
        </w:trPr>
        <w:tc>
          <w:tcPr>
            <w:tcW w:w="8487" w:type="dxa"/>
            <w:gridSpan w:val="6"/>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ascii="黑体" w:hAnsi="宋体" w:eastAsia="黑体" w:cs="黑体"/>
                <w:i w:val="0"/>
                <w:iCs w:val="0"/>
                <w:color w:val="000000"/>
                <w:sz w:val="44"/>
                <w:szCs w:val="44"/>
                <w:u w:val="none"/>
              </w:rPr>
            </w:pPr>
            <w:r>
              <w:rPr>
                <w:rFonts w:hint="eastAsia" w:ascii="黑体" w:hAnsi="宋体" w:eastAsia="黑体" w:cs="黑体"/>
                <w:i w:val="0"/>
                <w:iCs w:val="0"/>
                <w:color w:val="000000"/>
                <w:kern w:val="0"/>
                <w:sz w:val="44"/>
                <w:szCs w:val="44"/>
                <w:u w:val="none"/>
                <w:lang w:val="en-US" w:eastAsia="zh-CN" w:bidi="ar"/>
              </w:rPr>
              <w:t>2024年部门预算专项业务经费绩效目标表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487" w:type="dxa"/>
            <w:gridSpan w:val="6"/>
            <w:tcBorders>
              <w:top w:val="nil"/>
              <w:left w:val="nil"/>
              <w:bottom w:val="nil"/>
              <w:right w:val="nil"/>
            </w:tcBorders>
            <w:shd w:val="clear" w:color="auto" w:fill="auto"/>
            <w:vAlign w:val="center"/>
          </w:tcPr>
          <w:p>
            <w:pPr>
              <w:keepNext w:val="0"/>
              <w:keepLines w:val="0"/>
              <w:pageBreakBefore w:val="0"/>
              <w:kinsoku/>
              <w:wordWrap/>
              <w:overflowPunct/>
              <w:topLinePunct w:val="0"/>
              <w:autoSpaceDE/>
              <w:autoSpaceDN/>
              <w:bidi w:val="0"/>
              <w:adjustRightInd/>
              <w:snapToGrid/>
              <w:spacing w:line="434" w:lineRule="exact"/>
              <w:jc w:val="center"/>
              <w:rPr>
                <w:rFonts w:hint="eastAsia" w:ascii="仿宋" w:hAnsi="仿宋" w:eastAsia="仿宋" w:cs="仿宋"/>
                <w:i w:val="0"/>
                <w:iCs w:val="0"/>
                <w:color w:val="000000"/>
                <w:sz w:val="26"/>
                <w:szCs w:val="2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27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项目名称</w:t>
            </w:r>
          </w:p>
        </w:tc>
        <w:tc>
          <w:tcPr>
            <w:tcW w:w="57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区级应急成品储备粮经费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9" w:hRule="atLeast"/>
        </w:trPr>
        <w:tc>
          <w:tcPr>
            <w:tcW w:w="270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主管部门</w:t>
            </w:r>
          </w:p>
        </w:tc>
        <w:tc>
          <w:tcPr>
            <w:tcW w:w="57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西安市碑林区发展和改革委员会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2705"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资金金额</w:t>
            </w:r>
          </w:p>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(万元)</w:t>
            </w:r>
          </w:p>
        </w:tc>
        <w:tc>
          <w:tcPr>
            <w:tcW w:w="31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实施期资金总额：</w:t>
            </w:r>
          </w:p>
        </w:tc>
        <w:tc>
          <w:tcPr>
            <w:tcW w:w="25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3" w:hRule="atLeast"/>
        </w:trPr>
        <w:tc>
          <w:tcPr>
            <w:tcW w:w="270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31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其中：财政拨款</w:t>
            </w:r>
          </w:p>
        </w:tc>
        <w:tc>
          <w:tcPr>
            <w:tcW w:w="25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130.00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4" w:hRule="atLeast"/>
        </w:trPr>
        <w:tc>
          <w:tcPr>
            <w:tcW w:w="270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3195"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其他资金</w:t>
            </w:r>
          </w:p>
        </w:tc>
        <w:tc>
          <w:tcPr>
            <w:tcW w:w="258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1" w:hRule="atLeast"/>
        </w:trPr>
        <w:tc>
          <w:tcPr>
            <w:tcW w:w="778"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总体目标</w:t>
            </w:r>
          </w:p>
        </w:tc>
        <w:tc>
          <w:tcPr>
            <w:tcW w:w="7709"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完成区级1500吨应急成品粮储备工作任务，确保辖区内应急成品粮安全。</w:t>
            </w:r>
            <w:r>
              <w:rPr>
                <w:rFonts w:hint="eastAsia" w:ascii="仿宋_GB2312" w:hAnsi="仿宋_GB2312" w:eastAsia="仿宋_GB2312" w:cs="仿宋_GB2312"/>
                <w:color w:val="000000"/>
                <w:kern w:val="0"/>
                <w:sz w:val="24"/>
                <w:szCs w:val="24"/>
                <w:lang w:val="en-US" w:eastAsia="zh-CN" w:bidi="ar"/>
              </w:rPr>
              <w:tab/>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1" w:hRule="atLeast"/>
        </w:trPr>
        <w:tc>
          <w:tcPr>
            <w:tcW w:w="7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709"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trPr>
        <w:tc>
          <w:tcPr>
            <w:tcW w:w="778"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709"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2" w:hRule="atLeast"/>
        </w:trPr>
        <w:tc>
          <w:tcPr>
            <w:tcW w:w="77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年度绩效指标</w:t>
            </w:r>
          </w:p>
        </w:tc>
        <w:tc>
          <w:tcPr>
            <w:tcW w:w="71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一级指标</w:t>
            </w: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二级指标</w:t>
            </w:r>
          </w:p>
        </w:tc>
        <w:tc>
          <w:tcPr>
            <w:tcW w:w="31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指标内容</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指标值</w:t>
            </w:r>
          </w:p>
        </w:tc>
        <w:tc>
          <w:tcPr>
            <w:tcW w:w="787"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4" w:hRule="atLeast"/>
        </w:trPr>
        <w:tc>
          <w:tcPr>
            <w:tcW w:w="7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产出指标</w:t>
            </w:r>
          </w:p>
        </w:tc>
        <w:tc>
          <w:tcPr>
            <w:tcW w:w="1209"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数量指标</w:t>
            </w:r>
          </w:p>
        </w:tc>
        <w:tc>
          <w:tcPr>
            <w:tcW w:w="31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left"/>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应急成品储备粮储备数量</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1500吨</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8" w:hRule="atLeast"/>
        </w:trPr>
        <w:tc>
          <w:tcPr>
            <w:tcW w:w="7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09"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质量指标</w:t>
            </w:r>
          </w:p>
        </w:tc>
        <w:tc>
          <w:tcPr>
            <w:tcW w:w="31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应急成品储备粮安全率</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100%</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7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09"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31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应急成品粮轮换率</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100%</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4" w:hRule="atLeast"/>
        </w:trPr>
        <w:tc>
          <w:tcPr>
            <w:tcW w:w="7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时效指标</w:t>
            </w:r>
          </w:p>
        </w:tc>
        <w:tc>
          <w:tcPr>
            <w:tcW w:w="31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粮食轮换时间</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2024年1-12月</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5" w:hRule="atLeast"/>
        </w:trPr>
        <w:tc>
          <w:tcPr>
            <w:tcW w:w="7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09"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成本指标</w:t>
            </w:r>
          </w:p>
        </w:tc>
        <w:tc>
          <w:tcPr>
            <w:tcW w:w="31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采购项目合同补贴费用</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130万元</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atLeast"/>
        </w:trPr>
        <w:tc>
          <w:tcPr>
            <w:tcW w:w="7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效益指标</w:t>
            </w: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经济效益 指标</w:t>
            </w:r>
          </w:p>
        </w:tc>
        <w:tc>
          <w:tcPr>
            <w:tcW w:w="31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7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09"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社会效益 指标</w:t>
            </w:r>
          </w:p>
        </w:tc>
        <w:tc>
          <w:tcPr>
            <w:tcW w:w="31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加强粮食储备安全，保障粮食战备需求</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全面保障</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7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09"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31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维护粮油市场稳定</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有效维护</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7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生态效益 指标</w:t>
            </w:r>
          </w:p>
        </w:tc>
        <w:tc>
          <w:tcPr>
            <w:tcW w:w="31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09"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可持续影响指标</w:t>
            </w:r>
          </w:p>
        </w:tc>
        <w:tc>
          <w:tcPr>
            <w:tcW w:w="31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持续发挥粮食战略安全作用</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≥1年</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4" w:hRule="atLeast"/>
        </w:trPr>
        <w:tc>
          <w:tcPr>
            <w:tcW w:w="7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1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满意度指标</w:t>
            </w: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服务对象满意度指标</w:t>
            </w:r>
          </w:p>
        </w:tc>
        <w:tc>
          <w:tcPr>
            <w:tcW w:w="31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人民群众满意度</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≥100%</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bl>
    <w:p>
      <w:pPr>
        <w:rPr>
          <w:rFonts w:hint="eastAsia" w:ascii="黑体" w:hAnsi="宋体" w:eastAsia="黑体" w:cs="黑体"/>
          <w:color w:val="000000"/>
          <w:kern w:val="0"/>
          <w:sz w:val="31"/>
          <w:szCs w:val="31"/>
          <w:lang w:val="en-US" w:eastAsia="zh-CN" w:bidi="ar"/>
        </w:rPr>
      </w:pPr>
      <w:r>
        <w:rPr>
          <w:rFonts w:hint="eastAsia" w:ascii="华文楷体" w:hAnsi="华文楷体" w:eastAsia="华文楷体" w:cs="华文楷体"/>
          <w:color w:val="000000"/>
          <w:kern w:val="0"/>
          <w:sz w:val="30"/>
          <w:szCs w:val="30"/>
          <w:u w:val="none"/>
          <w:lang w:val="en-US" w:eastAsia="zh-CN" w:bidi="ar"/>
        </w:rPr>
        <w:t>04-</w:t>
      </w:r>
      <w:r>
        <w:rPr>
          <w:rFonts w:hint="eastAsia" w:ascii="华文楷体" w:hAnsi="华文楷体" w:eastAsia="华文楷体" w:cs="华文楷体"/>
          <w:color w:val="000000"/>
          <w:kern w:val="0"/>
          <w:sz w:val="30"/>
          <w:szCs w:val="30"/>
          <w:u w:val="single"/>
          <w:lang w:val="en-US" w:eastAsia="zh-CN" w:bidi="ar"/>
        </w:rPr>
        <w:t>粮食储备</w:t>
      </w:r>
      <w:r>
        <w:rPr>
          <w:rFonts w:hint="eastAsia" w:ascii="华文楷体" w:hAnsi="华文楷体" w:eastAsia="华文楷体" w:cs="华文楷体"/>
          <w:color w:val="000000"/>
          <w:kern w:val="0"/>
          <w:sz w:val="30"/>
          <w:szCs w:val="30"/>
          <w:u w:val="none"/>
          <w:lang w:val="en-US" w:eastAsia="zh-CN" w:bidi="ar"/>
        </w:rPr>
        <w:t>领域</w:t>
      </w:r>
    </w:p>
    <w:tbl>
      <w:tblPr>
        <w:tblStyle w:val="5"/>
        <w:tblpPr w:leftFromText="180" w:rightFromText="180" w:vertAnchor="text" w:horzAnchor="page" w:tblpXSpec="center" w:tblpY="762"/>
        <w:tblOverlap w:val="never"/>
        <w:tblW w:w="866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0"/>
        <w:gridCol w:w="872"/>
        <w:gridCol w:w="1217"/>
        <w:gridCol w:w="3343"/>
        <w:gridCol w:w="1737"/>
        <w:gridCol w:w="7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3" w:hRule="atLeast"/>
          <w:jc w:val="center"/>
        </w:trPr>
        <w:tc>
          <w:tcPr>
            <w:tcW w:w="8660" w:type="dxa"/>
            <w:gridSpan w:val="6"/>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ascii="黑体" w:hAnsi="宋体" w:eastAsia="黑体" w:cs="黑体"/>
                <w:i w:val="0"/>
                <w:iCs w:val="0"/>
                <w:color w:val="000000"/>
                <w:sz w:val="44"/>
                <w:szCs w:val="44"/>
                <w:u w:val="none"/>
              </w:rPr>
            </w:pPr>
            <w:r>
              <w:rPr>
                <w:rFonts w:hint="eastAsia" w:ascii="黑体" w:hAnsi="宋体" w:eastAsia="黑体" w:cs="黑体"/>
                <w:i w:val="0"/>
                <w:iCs w:val="0"/>
                <w:color w:val="000000"/>
                <w:kern w:val="0"/>
                <w:sz w:val="44"/>
                <w:szCs w:val="44"/>
                <w:u w:val="none"/>
                <w:lang w:val="en-US" w:eastAsia="zh-CN" w:bidi="ar"/>
              </w:rPr>
              <w:t>2024年部门预算专项业务经费绩效目标表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8660" w:type="dxa"/>
            <w:gridSpan w:val="6"/>
            <w:tcBorders>
              <w:top w:val="nil"/>
              <w:left w:val="nil"/>
              <w:bottom w:val="nil"/>
              <w:right w:val="nil"/>
            </w:tcBorders>
            <w:shd w:val="clear" w:color="auto" w:fill="auto"/>
            <w:vAlign w:val="center"/>
          </w:tcPr>
          <w:p>
            <w:pPr>
              <w:keepNext w:val="0"/>
              <w:keepLines w:val="0"/>
              <w:pageBreakBefore w:val="0"/>
              <w:kinsoku/>
              <w:wordWrap/>
              <w:overflowPunct/>
              <w:topLinePunct w:val="0"/>
              <w:autoSpaceDE/>
              <w:autoSpaceDN/>
              <w:bidi w:val="0"/>
              <w:adjustRightInd/>
              <w:snapToGrid/>
              <w:spacing w:line="434" w:lineRule="exact"/>
              <w:jc w:val="center"/>
              <w:rPr>
                <w:rFonts w:hint="eastAsia" w:ascii="仿宋" w:hAnsi="仿宋" w:eastAsia="仿宋" w:cs="仿宋"/>
                <w:i w:val="0"/>
                <w:iCs w:val="0"/>
                <w:color w:val="000000"/>
                <w:sz w:val="26"/>
                <w:szCs w:val="2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7" w:hRule="atLeast"/>
          <w:jc w:val="center"/>
        </w:trPr>
        <w:tc>
          <w:tcPr>
            <w:tcW w:w="286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项目名称</w:t>
            </w:r>
          </w:p>
        </w:tc>
        <w:tc>
          <w:tcPr>
            <w:tcW w:w="579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独生子女父母补助金（居民）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7" w:hRule="atLeast"/>
          <w:jc w:val="center"/>
        </w:trPr>
        <w:tc>
          <w:tcPr>
            <w:tcW w:w="286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主管部门</w:t>
            </w:r>
          </w:p>
        </w:tc>
        <w:tc>
          <w:tcPr>
            <w:tcW w:w="579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西安市碑林区卫生健康局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7" w:hRule="atLeast"/>
          <w:jc w:val="center"/>
        </w:trPr>
        <w:tc>
          <w:tcPr>
            <w:tcW w:w="286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资金金额</w:t>
            </w:r>
          </w:p>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(万元)</w:t>
            </w:r>
          </w:p>
        </w:tc>
        <w:tc>
          <w:tcPr>
            <w:tcW w:w="33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实施期资金总额：</w:t>
            </w:r>
          </w:p>
        </w:tc>
        <w:tc>
          <w:tcPr>
            <w:tcW w:w="2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211.56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7" w:hRule="atLeast"/>
          <w:jc w:val="center"/>
        </w:trPr>
        <w:tc>
          <w:tcPr>
            <w:tcW w:w="286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33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其中：财政拨款</w:t>
            </w:r>
          </w:p>
        </w:tc>
        <w:tc>
          <w:tcPr>
            <w:tcW w:w="2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211.56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9" w:hRule="atLeast"/>
          <w:jc w:val="center"/>
        </w:trPr>
        <w:tc>
          <w:tcPr>
            <w:tcW w:w="286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3343"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其他资金</w:t>
            </w:r>
          </w:p>
        </w:tc>
        <w:tc>
          <w:tcPr>
            <w:tcW w:w="2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1" w:hRule="atLeast"/>
          <w:jc w:val="center"/>
        </w:trPr>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总体目标</w:t>
            </w:r>
          </w:p>
        </w:tc>
        <w:tc>
          <w:tcPr>
            <w:tcW w:w="7880"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确保在国家提倡一对夫妻生育一个子女期间的城镇独生子女家庭父母，依据《陕西省人口和计划生育条例》《陕西省城镇独生子女父母补助金发放办法》的相关规定，对于户籍在我区、领取《独生子女父母光荣证》、未参加机关事业企业职工养老保险的年满55周岁女性和年满60周岁男性领取到独生子女父母补助金。</w:t>
            </w:r>
            <w:r>
              <w:rPr>
                <w:rFonts w:hint="eastAsia" w:ascii="仿宋_GB2312" w:hAnsi="仿宋_GB2312" w:eastAsia="仿宋_GB2312" w:cs="仿宋_GB2312"/>
                <w:color w:val="000000"/>
                <w:kern w:val="0"/>
                <w:sz w:val="24"/>
                <w:szCs w:val="24"/>
                <w:lang w:val="en-US" w:eastAsia="zh-CN" w:bidi="ar"/>
              </w:rPr>
              <w:tab/>
            </w:r>
            <w:r>
              <w:rPr>
                <w:rFonts w:hint="eastAsia" w:ascii="仿宋_GB2312" w:hAnsi="仿宋_GB2312" w:eastAsia="仿宋_GB2312" w:cs="仿宋_GB2312"/>
                <w:color w:val="000000"/>
                <w:kern w:val="0"/>
                <w:sz w:val="24"/>
                <w:szCs w:val="24"/>
                <w:lang w:val="en-US" w:eastAsia="zh-CN" w:bidi="ar"/>
              </w:rPr>
              <w:tab/>
            </w:r>
            <w:r>
              <w:rPr>
                <w:rFonts w:hint="eastAsia" w:ascii="仿宋_GB2312" w:hAnsi="仿宋_GB2312" w:eastAsia="仿宋_GB2312" w:cs="仿宋_GB2312"/>
                <w:color w:val="000000"/>
                <w:kern w:val="0"/>
                <w:sz w:val="24"/>
                <w:szCs w:val="24"/>
                <w:lang w:val="en-US" w:eastAsia="zh-CN" w:bidi="ar"/>
              </w:rPr>
              <w:tab/>
            </w:r>
            <w:r>
              <w:rPr>
                <w:rFonts w:hint="eastAsia" w:ascii="仿宋_GB2312" w:hAnsi="仿宋_GB2312" w:eastAsia="仿宋_GB2312" w:cs="仿宋_GB2312"/>
                <w:color w:val="000000"/>
                <w:kern w:val="0"/>
                <w:sz w:val="24"/>
                <w:szCs w:val="24"/>
                <w:lang w:val="en-US" w:eastAsia="zh-CN" w:bidi="ar"/>
              </w:rPr>
              <w:tab/>
            </w:r>
            <w:r>
              <w:rPr>
                <w:rFonts w:hint="eastAsia" w:ascii="仿宋_GB2312" w:hAnsi="仿宋_GB2312" w:eastAsia="仿宋_GB2312" w:cs="仿宋_GB2312"/>
                <w:color w:val="000000"/>
                <w:kern w:val="0"/>
                <w:sz w:val="24"/>
                <w:szCs w:val="24"/>
                <w:lang w:val="en-US" w:eastAsia="zh-CN" w:bidi="ar"/>
              </w:rPr>
              <w:tab/>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jc w:val="center"/>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880"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7" w:hRule="atLeast"/>
          <w:jc w:val="center"/>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880"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3" w:hRule="atLeast"/>
          <w:jc w:val="center"/>
        </w:trPr>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年度绩效指标</w:t>
            </w:r>
          </w:p>
        </w:tc>
        <w:tc>
          <w:tcPr>
            <w:tcW w:w="872"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一级指标</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二级指标</w:t>
            </w:r>
          </w:p>
        </w:tc>
        <w:tc>
          <w:tcPr>
            <w:tcW w:w="33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指标内容</w:t>
            </w:r>
          </w:p>
        </w:tc>
        <w:tc>
          <w:tcPr>
            <w:tcW w:w="17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指标值</w:t>
            </w:r>
          </w:p>
        </w:tc>
        <w:tc>
          <w:tcPr>
            <w:tcW w:w="711"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3" w:hRule="atLeast"/>
          <w:jc w:val="center"/>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产出指标</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数量指标</w:t>
            </w:r>
          </w:p>
        </w:tc>
        <w:tc>
          <w:tcPr>
            <w:tcW w:w="33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left"/>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拨付独生子女父母补助金人数</w:t>
            </w:r>
          </w:p>
        </w:tc>
        <w:tc>
          <w:tcPr>
            <w:tcW w:w="17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2321人</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1" w:hRule="atLeast"/>
          <w:jc w:val="center"/>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质量指标</w:t>
            </w:r>
          </w:p>
        </w:tc>
        <w:tc>
          <w:tcPr>
            <w:tcW w:w="33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对符合政策的人群资金发放覆盖率</w:t>
            </w:r>
          </w:p>
        </w:tc>
        <w:tc>
          <w:tcPr>
            <w:tcW w:w="17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100%</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jc w:val="center"/>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时效指标</w:t>
            </w:r>
          </w:p>
        </w:tc>
        <w:tc>
          <w:tcPr>
            <w:tcW w:w="33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独生子女父母补助金发放时间</w:t>
            </w:r>
          </w:p>
        </w:tc>
        <w:tc>
          <w:tcPr>
            <w:tcW w:w="17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2024年6-8月</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1" w:hRule="atLeast"/>
          <w:jc w:val="center"/>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7"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成本指标</w:t>
            </w:r>
          </w:p>
        </w:tc>
        <w:tc>
          <w:tcPr>
            <w:tcW w:w="33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独生子女父母补助金区级资金投入总额</w:t>
            </w:r>
          </w:p>
        </w:tc>
        <w:tc>
          <w:tcPr>
            <w:tcW w:w="17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211.56万元</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6" w:hRule="atLeast"/>
          <w:jc w:val="center"/>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7"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33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符合政策人员每月发放金额</w:t>
            </w:r>
          </w:p>
        </w:tc>
        <w:tc>
          <w:tcPr>
            <w:tcW w:w="17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120元</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6" w:hRule="atLeast"/>
          <w:jc w:val="center"/>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效益指标</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经济效益 指标</w:t>
            </w:r>
          </w:p>
        </w:tc>
        <w:tc>
          <w:tcPr>
            <w:tcW w:w="33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17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3" w:hRule="atLeast"/>
          <w:jc w:val="center"/>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社会效益 指标</w:t>
            </w:r>
          </w:p>
        </w:tc>
        <w:tc>
          <w:tcPr>
            <w:tcW w:w="33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独生子女父母生活质量水平</w:t>
            </w:r>
          </w:p>
        </w:tc>
        <w:tc>
          <w:tcPr>
            <w:tcW w:w="17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有效提升</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7" w:hRule="atLeast"/>
          <w:jc w:val="center"/>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生态效益 指标</w:t>
            </w:r>
          </w:p>
        </w:tc>
        <w:tc>
          <w:tcPr>
            <w:tcW w:w="33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17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2" w:hRule="atLeast"/>
          <w:jc w:val="center"/>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可持续影响指标</w:t>
            </w:r>
          </w:p>
        </w:tc>
        <w:tc>
          <w:tcPr>
            <w:tcW w:w="33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在提升独生子女家庭生活质量方面发挥的积极作用</w:t>
            </w:r>
          </w:p>
        </w:tc>
        <w:tc>
          <w:tcPr>
            <w:tcW w:w="17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≥1年</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0" w:hRule="atLeast"/>
          <w:jc w:val="center"/>
        </w:trPr>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7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满意度指标</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服务对象满意度指标</w:t>
            </w:r>
          </w:p>
        </w:tc>
        <w:tc>
          <w:tcPr>
            <w:tcW w:w="33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独生子女父母补助金领取人员满意率</w:t>
            </w:r>
          </w:p>
        </w:tc>
        <w:tc>
          <w:tcPr>
            <w:tcW w:w="17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≥90%</w:t>
            </w:r>
          </w:p>
        </w:tc>
        <w:tc>
          <w:tcPr>
            <w:tcW w:w="7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bl>
    <w:p>
      <w:pPr>
        <w:rPr>
          <w:rFonts w:hint="eastAsia" w:ascii="华文楷体" w:hAnsi="华文楷体" w:eastAsia="华文楷体" w:cs="华文楷体"/>
          <w:color w:val="000000"/>
          <w:kern w:val="0"/>
          <w:sz w:val="30"/>
          <w:szCs w:val="30"/>
          <w:u w:val="none"/>
          <w:lang w:val="en-US" w:eastAsia="zh-CN" w:bidi="ar"/>
        </w:rPr>
      </w:pPr>
      <w:r>
        <w:rPr>
          <w:rFonts w:hint="eastAsia" w:ascii="华文楷体" w:hAnsi="华文楷体" w:eastAsia="华文楷体" w:cs="华文楷体"/>
          <w:color w:val="000000"/>
          <w:kern w:val="0"/>
          <w:sz w:val="30"/>
          <w:szCs w:val="30"/>
          <w:u w:val="none"/>
          <w:lang w:val="en-US" w:eastAsia="zh-CN" w:bidi="ar"/>
        </w:rPr>
        <w:t>05-</w:t>
      </w:r>
      <w:r>
        <w:rPr>
          <w:rFonts w:hint="eastAsia" w:ascii="华文楷体" w:hAnsi="华文楷体" w:eastAsia="华文楷体" w:cs="华文楷体"/>
          <w:color w:val="000000"/>
          <w:kern w:val="0"/>
          <w:sz w:val="30"/>
          <w:szCs w:val="30"/>
          <w:u w:val="single"/>
          <w:lang w:val="en-US" w:eastAsia="zh-CN" w:bidi="ar"/>
        </w:rPr>
        <w:t>卫生健康事业发展</w:t>
      </w:r>
      <w:r>
        <w:rPr>
          <w:rFonts w:hint="eastAsia" w:ascii="华文楷体" w:hAnsi="华文楷体" w:eastAsia="华文楷体" w:cs="华文楷体"/>
          <w:color w:val="000000"/>
          <w:kern w:val="0"/>
          <w:sz w:val="30"/>
          <w:szCs w:val="30"/>
          <w:u w:val="none"/>
          <w:lang w:val="en-US" w:eastAsia="zh-CN" w:bidi="ar"/>
        </w:rPr>
        <w:t>领域</w:t>
      </w:r>
    </w:p>
    <w:tbl>
      <w:tblPr>
        <w:tblStyle w:val="5"/>
        <w:tblpPr w:leftFromText="180" w:rightFromText="180" w:vertAnchor="text" w:horzAnchor="page" w:tblpXSpec="center" w:tblpY="884"/>
        <w:tblOverlap w:val="never"/>
        <w:tblW w:w="864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85"/>
        <w:gridCol w:w="872"/>
        <w:gridCol w:w="1217"/>
        <w:gridCol w:w="2911"/>
        <w:gridCol w:w="1837"/>
        <w:gridCol w:w="11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3" w:hRule="atLeast"/>
          <w:jc w:val="center"/>
        </w:trPr>
        <w:tc>
          <w:tcPr>
            <w:tcW w:w="8643" w:type="dxa"/>
            <w:gridSpan w:val="6"/>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ascii="黑体" w:hAnsi="宋体" w:eastAsia="黑体" w:cs="黑体"/>
                <w:i w:val="0"/>
                <w:iCs w:val="0"/>
                <w:color w:val="000000"/>
                <w:sz w:val="44"/>
                <w:szCs w:val="44"/>
                <w:u w:val="none"/>
              </w:rPr>
            </w:pPr>
            <w:r>
              <w:rPr>
                <w:rFonts w:hint="eastAsia" w:ascii="黑体" w:hAnsi="宋体" w:eastAsia="黑体" w:cs="黑体"/>
                <w:i w:val="0"/>
                <w:iCs w:val="0"/>
                <w:color w:val="000000"/>
                <w:kern w:val="0"/>
                <w:sz w:val="44"/>
                <w:szCs w:val="44"/>
                <w:u w:val="none"/>
                <w:lang w:val="en-US" w:eastAsia="zh-CN" w:bidi="ar"/>
              </w:rPr>
              <w:t>2024年部门预算专项业务经费绩效目标表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8643" w:type="dxa"/>
            <w:gridSpan w:val="6"/>
            <w:tcBorders>
              <w:top w:val="nil"/>
              <w:left w:val="nil"/>
              <w:bottom w:val="nil"/>
              <w:right w:val="nil"/>
            </w:tcBorders>
            <w:shd w:val="clear" w:color="auto" w:fill="auto"/>
            <w:vAlign w:val="center"/>
          </w:tcPr>
          <w:p>
            <w:pPr>
              <w:keepNext w:val="0"/>
              <w:keepLines w:val="0"/>
              <w:pageBreakBefore w:val="0"/>
              <w:kinsoku/>
              <w:wordWrap/>
              <w:overflowPunct/>
              <w:topLinePunct w:val="0"/>
              <w:autoSpaceDE/>
              <w:autoSpaceDN/>
              <w:bidi w:val="0"/>
              <w:adjustRightInd/>
              <w:snapToGrid/>
              <w:spacing w:line="434" w:lineRule="exact"/>
              <w:jc w:val="center"/>
              <w:rPr>
                <w:rFonts w:hint="eastAsia" w:ascii="仿宋" w:hAnsi="仿宋" w:eastAsia="仿宋" w:cs="仿宋"/>
                <w:i w:val="0"/>
                <w:iCs w:val="0"/>
                <w:color w:val="000000"/>
                <w:sz w:val="26"/>
                <w:szCs w:val="2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7" w:hRule="atLeast"/>
          <w:jc w:val="center"/>
        </w:trPr>
        <w:tc>
          <w:tcPr>
            <w:tcW w:w="277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项目名称</w:t>
            </w:r>
          </w:p>
        </w:tc>
        <w:tc>
          <w:tcPr>
            <w:tcW w:w="586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残疾人专职委员工作补贴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7" w:hRule="atLeast"/>
          <w:jc w:val="center"/>
        </w:trPr>
        <w:tc>
          <w:tcPr>
            <w:tcW w:w="277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主管部门</w:t>
            </w:r>
          </w:p>
        </w:tc>
        <w:tc>
          <w:tcPr>
            <w:tcW w:w="586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西安市碑林区残疾人联合会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7" w:hRule="atLeast"/>
          <w:jc w:val="center"/>
        </w:trPr>
        <w:tc>
          <w:tcPr>
            <w:tcW w:w="277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资金金额</w:t>
            </w:r>
          </w:p>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(万元)</w:t>
            </w:r>
          </w:p>
        </w:tc>
        <w:tc>
          <w:tcPr>
            <w:tcW w:w="2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实施期资金总额：</w:t>
            </w:r>
          </w:p>
        </w:tc>
        <w:tc>
          <w:tcPr>
            <w:tcW w:w="29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427.32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7" w:hRule="atLeast"/>
          <w:jc w:val="center"/>
        </w:trPr>
        <w:tc>
          <w:tcPr>
            <w:tcW w:w="277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2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其中：财政拨款</w:t>
            </w:r>
          </w:p>
        </w:tc>
        <w:tc>
          <w:tcPr>
            <w:tcW w:w="29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427.32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9" w:hRule="atLeast"/>
          <w:jc w:val="center"/>
        </w:trPr>
        <w:tc>
          <w:tcPr>
            <w:tcW w:w="277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2911"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其他资金</w:t>
            </w:r>
          </w:p>
        </w:tc>
        <w:tc>
          <w:tcPr>
            <w:tcW w:w="295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jc w:val="center"/>
        </w:trPr>
        <w:tc>
          <w:tcPr>
            <w:tcW w:w="685"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总体目标</w:t>
            </w:r>
          </w:p>
        </w:tc>
        <w:tc>
          <w:tcPr>
            <w:tcW w:w="7958"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加快我区残疾人事业发展和调动残疾人专职委员工作积极性，进一步加强我区残疾人基层组织建设。</w:t>
            </w:r>
            <w:r>
              <w:rPr>
                <w:rFonts w:hint="eastAsia" w:ascii="仿宋_GB2312" w:hAnsi="仿宋_GB2312" w:eastAsia="仿宋_GB2312" w:cs="仿宋_GB2312"/>
                <w:color w:val="000000"/>
                <w:kern w:val="0"/>
                <w:sz w:val="24"/>
                <w:szCs w:val="24"/>
                <w:lang w:val="en-US" w:eastAsia="zh-CN" w:bidi="ar"/>
              </w:rPr>
              <w:tab/>
            </w:r>
            <w:r>
              <w:rPr>
                <w:rFonts w:hint="eastAsia" w:ascii="仿宋_GB2312" w:hAnsi="仿宋_GB2312" w:eastAsia="仿宋_GB2312" w:cs="仿宋_GB2312"/>
                <w:color w:val="000000"/>
                <w:kern w:val="0"/>
                <w:sz w:val="24"/>
                <w:szCs w:val="24"/>
                <w:lang w:val="en-US" w:eastAsia="zh-CN" w:bidi="ar"/>
              </w:rPr>
              <w:tab/>
            </w:r>
            <w:r>
              <w:rPr>
                <w:rFonts w:hint="eastAsia" w:ascii="仿宋_GB2312" w:hAnsi="仿宋_GB2312" w:eastAsia="仿宋_GB2312" w:cs="仿宋_GB2312"/>
                <w:color w:val="000000"/>
                <w:kern w:val="0"/>
                <w:sz w:val="24"/>
                <w:szCs w:val="24"/>
                <w:lang w:val="en-US" w:eastAsia="zh-CN" w:bidi="ar"/>
              </w:rPr>
              <w:tab/>
            </w:r>
            <w:r>
              <w:rPr>
                <w:rFonts w:hint="eastAsia" w:ascii="仿宋_GB2312" w:hAnsi="仿宋_GB2312" w:eastAsia="仿宋_GB2312" w:cs="仿宋_GB2312"/>
                <w:color w:val="000000"/>
                <w:kern w:val="0"/>
                <w:sz w:val="24"/>
                <w:szCs w:val="24"/>
                <w:lang w:val="en-US" w:eastAsia="zh-CN" w:bidi="ar"/>
              </w:rPr>
              <w:tab/>
            </w:r>
            <w:r>
              <w:rPr>
                <w:rFonts w:hint="eastAsia" w:ascii="仿宋_GB2312" w:hAnsi="仿宋_GB2312" w:eastAsia="仿宋_GB2312" w:cs="仿宋_GB2312"/>
                <w:color w:val="000000"/>
                <w:kern w:val="0"/>
                <w:sz w:val="24"/>
                <w:szCs w:val="24"/>
                <w:lang w:val="en-US" w:eastAsia="zh-CN" w:bidi="ar"/>
              </w:rPr>
              <w:tab/>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958"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958"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3" w:hRule="atLeast"/>
          <w:jc w:val="center"/>
        </w:trPr>
        <w:tc>
          <w:tcPr>
            <w:tcW w:w="6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年度绩效指标</w:t>
            </w:r>
          </w:p>
        </w:tc>
        <w:tc>
          <w:tcPr>
            <w:tcW w:w="872"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一级指标</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二级指标</w:t>
            </w:r>
          </w:p>
        </w:tc>
        <w:tc>
          <w:tcPr>
            <w:tcW w:w="2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指标内容</w:t>
            </w:r>
          </w:p>
        </w:tc>
        <w:tc>
          <w:tcPr>
            <w:tcW w:w="1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指标值</w:t>
            </w:r>
          </w:p>
        </w:tc>
        <w:tc>
          <w:tcPr>
            <w:tcW w:w="1121"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8"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产出指标</w:t>
            </w:r>
          </w:p>
        </w:tc>
        <w:tc>
          <w:tcPr>
            <w:tcW w:w="1217"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数量指标</w:t>
            </w:r>
          </w:p>
        </w:tc>
        <w:tc>
          <w:tcPr>
            <w:tcW w:w="2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left"/>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社区专委人数</w:t>
            </w:r>
          </w:p>
        </w:tc>
        <w:tc>
          <w:tcPr>
            <w:tcW w:w="1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127人</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6"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72"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7"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2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街办专委人数</w:t>
            </w:r>
          </w:p>
        </w:tc>
        <w:tc>
          <w:tcPr>
            <w:tcW w:w="1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10人</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1"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7"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质量指标</w:t>
            </w:r>
          </w:p>
        </w:tc>
        <w:tc>
          <w:tcPr>
            <w:tcW w:w="2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职委在岗率</w:t>
            </w:r>
          </w:p>
        </w:tc>
        <w:tc>
          <w:tcPr>
            <w:tcW w:w="1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100%</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4"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7"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2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资金拨付率</w:t>
            </w:r>
          </w:p>
        </w:tc>
        <w:tc>
          <w:tcPr>
            <w:tcW w:w="1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100%</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时效指标</w:t>
            </w:r>
          </w:p>
        </w:tc>
        <w:tc>
          <w:tcPr>
            <w:tcW w:w="2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资金发放时间</w:t>
            </w:r>
          </w:p>
        </w:tc>
        <w:tc>
          <w:tcPr>
            <w:tcW w:w="1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2024年1-12月</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1"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7"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成本指标</w:t>
            </w:r>
          </w:p>
        </w:tc>
        <w:tc>
          <w:tcPr>
            <w:tcW w:w="2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社区专委补贴金额</w:t>
            </w:r>
          </w:p>
        </w:tc>
        <w:tc>
          <w:tcPr>
            <w:tcW w:w="1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395.02万元</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6"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7"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2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街办专委补贴金额</w:t>
            </w:r>
          </w:p>
        </w:tc>
        <w:tc>
          <w:tcPr>
            <w:tcW w:w="1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32.30万元</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1"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效益指标</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经济效益 指标</w:t>
            </w:r>
          </w:p>
        </w:tc>
        <w:tc>
          <w:tcPr>
            <w:tcW w:w="2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1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社会效益 指标</w:t>
            </w:r>
          </w:p>
        </w:tc>
        <w:tc>
          <w:tcPr>
            <w:tcW w:w="2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保障专委队伍稳定</w:t>
            </w:r>
          </w:p>
        </w:tc>
        <w:tc>
          <w:tcPr>
            <w:tcW w:w="1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基本保障</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生态效益 指标</w:t>
            </w:r>
          </w:p>
        </w:tc>
        <w:tc>
          <w:tcPr>
            <w:tcW w:w="2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1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2"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可持续影响指标</w:t>
            </w:r>
          </w:p>
        </w:tc>
        <w:tc>
          <w:tcPr>
            <w:tcW w:w="2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建设强有力、高效率的残疾人工作服务保障队伍</w:t>
            </w:r>
          </w:p>
        </w:tc>
        <w:tc>
          <w:tcPr>
            <w:tcW w:w="1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≥1年</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7" w:hRule="atLeast"/>
          <w:jc w:val="center"/>
        </w:trPr>
        <w:tc>
          <w:tcPr>
            <w:tcW w:w="6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72"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满意度指标</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服务对象满意度指标</w:t>
            </w:r>
          </w:p>
        </w:tc>
        <w:tc>
          <w:tcPr>
            <w:tcW w:w="2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专委满意度</w:t>
            </w:r>
          </w:p>
        </w:tc>
        <w:tc>
          <w:tcPr>
            <w:tcW w:w="18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≥90%</w:t>
            </w:r>
          </w:p>
        </w:tc>
        <w:tc>
          <w:tcPr>
            <w:tcW w:w="11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bl>
    <w:p>
      <w:pPr>
        <w:rPr>
          <w:rFonts w:hint="eastAsia" w:ascii="华文楷体" w:hAnsi="华文楷体" w:eastAsia="华文楷体" w:cs="华文楷体"/>
          <w:color w:val="000000"/>
          <w:kern w:val="0"/>
          <w:sz w:val="30"/>
          <w:szCs w:val="30"/>
          <w:u w:val="none"/>
          <w:lang w:val="en-US" w:eastAsia="zh-CN" w:bidi="ar"/>
        </w:rPr>
      </w:pPr>
      <w:r>
        <w:rPr>
          <w:rFonts w:hint="eastAsia" w:ascii="华文楷体" w:hAnsi="华文楷体" w:eastAsia="华文楷体" w:cs="华文楷体"/>
          <w:color w:val="000000"/>
          <w:kern w:val="0"/>
          <w:sz w:val="30"/>
          <w:szCs w:val="30"/>
          <w:u w:val="none"/>
          <w:lang w:val="en-US" w:eastAsia="zh-CN" w:bidi="ar"/>
        </w:rPr>
        <w:t>06-</w:t>
      </w:r>
      <w:r>
        <w:rPr>
          <w:rFonts w:hint="eastAsia" w:ascii="华文楷体" w:hAnsi="华文楷体" w:eastAsia="华文楷体" w:cs="华文楷体"/>
          <w:color w:val="000000"/>
          <w:kern w:val="0"/>
          <w:sz w:val="30"/>
          <w:szCs w:val="30"/>
          <w:u w:val="single"/>
          <w:lang w:val="en-US" w:eastAsia="zh-CN" w:bidi="ar"/>
        </w:rPr>
        <w:t>残疾人事业发展</w:t>
      </w:r>
      <w:r>
        <w:rPr>
          <w:rFonts w:hint="eastAsia" w:ascii="华文楷体" w:hAnsi="华文楷体" w:eastAsia="华文楷体" w:cs="华文楷体"/>
          <w:color w:val="000000"/>
          <w:kern w:val="0"/>
          <w:sz w:val="30"/>
          <w:szCs w:val="30"/>
          <w:u w:val="none"/>
          <w:lang w:val="en-US" w:eastAsia="zh-CN" w:bidi="ar"/>
        </w:rPr>
        <w:t>领域</w:t>
      </w:r>
    </w:p>
    <w:tbl>
      <w:tblPr>
        <w:tblStyle w:val="5"/>
        <w:tblpPr w:leftFromText="180" w:rightFromText="180" w:vertAnchor="text" w:horzAnchor="page" w:tblpX="1894" w:tblpY="799"/>
        <w:tblOverlap w:val="never"/>
        <w:tblW w:w="846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76"/>
        <w:gridCol w:w="868"/>
        <w:gridCol w:w="1212"/>
        <w:gridCol w:w="3369"/>
        <w:gridCol w:w="1450"/>
        <w:gridCol w:w="7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3" w:hRule="atLeast"/>
        </w:trPr>
        <w:tc>
          <w:tcPr>
            <w:tcW w:w="8462" w:type="dxa"/>
            <w:gridSpan w:val="6"/>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ascii="黑体" w:hAnsi="宋体" w:eastAsia="黑体" w:cs="黑体"/>
                <w:i w:val="0"/>
                <w:iCs w:val="0"/>
                <w:color w:val="000000"/>
                <w:sz w:val="44"/>
                <w:szCs w:val="44"/>
                <w:u w:val="none"/>
              </w:rPr>
            </w:pPr>
            <w:r>
              <w:rPr>
                <w:rFonts w:hint="eastAsia" w:ascii="黑体" w:hAnsi="宋体" w:eastAsia="黑体" w:cs="黑体"/>
                <w:i w:val="0"/>
                <w:iCs w:val="0"/>
                <w:color w:val="000000"/>
                <w:kern w:val="0"/>
                <w:sz w:val="44"/>
                <w:szCs w:val="44"/>
                <w:u w:val="none"/>
                <w:lang w:val="en-US" w:eastAsia="zh-CN" w:bidi="ar"/>
              </w:rPr>
              <w:t>2024年部门预算专项业务经费绩效目标表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8462" w:type="dxa"/>
            <w:gridSpan w:val="6"/>
            <w:tcBorders>
              <w:top w:val="nil"/>
              <w:left w:val="nil"/>
              <w:bottom w:val="nil"/>
              <w:right w:val="nil"/>
            </w:tcBorders>
            <w:shd w:val="clear" w:color="auto" w:fill="auto"/>
            <w:vAlign w:val="center"/>
          </w:tcPr>
          <w:p>
            <w:pPr>
              <w:keepNext w:val="0"/>
              <w:keepLines w:val="0"/>
              <w:pageBreakBefore w:val="0"/>
              <w:kinsoku/>
              <w:wordWrap/>
              <w:overflowPunct/>
              <w:topLinePunct w:val="0"/>
              <w:autoSpaceDE/>
              <w:autoSpaceDN/>
              <w:bidi w:val="0"/>
              <w:adjustRightInd/>
              <w:snapToGrid/>
              <w:spacing w:line="434" w:lineRule="exact"/>
              <w:jc w:val="center"/>
              <w:rPr>
                <w:rFonts w:hint="eastAsia" w:ascii="仿宋" w:hAnsi="仿宋" w:eastAsia="仿宋" w:cs="仿宋"/>
                <w:i w:val="0"/>
                <w:iCs w:val="0"/>
                <w:color w:val="000000"/>
                <w:sz w:val="26"/>
                <w:szCs w:val="2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28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项目名称</w:t>
            </w:r>
          </w:p>
        </w:tc>
        <w:tc>
          <w:tcPr>
            <w:tcW w:w="560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自主就业一次性经济补助金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trPr>
        <w:tc>
          <w:tcPr>
            <w:tcW w:w="28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主管部门</w:t>
            </w:r>
          </w:p>
        </w:tc>
        <w:tc>
          <w:tcPr>
            <w:tcW w:w="560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西安市碑林区退役军人事务局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trPr>
        <w:tc>
          <w:tcPr>
            <w:tcW w:w="2856"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资金金额</w:t>
            </w:r>
          </w:p>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(万元)</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实施期资金总额：</w:t>
            </w:r>
          </w:p>
        </w:tc>
        <w:tc>
          <w:tcPr>
            <w:tcW w:w="22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334.00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285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其中：财政拨款</w:t>
            </w:r>
          </w:p>
        </w:tc>
        <w:tc>
          <w:tcPr>
            <w:tcW w:w="22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334.00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9" w:hRule="atLeast"/>
        </w:trPr>
        <w:tc>
          <w:tcPr>
            <w:tcW w:w="285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3369"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其他资金</w:t>
            </w:r>
          </w:p>
        </w:tc>
        <w:tc>
          <w:tcPr>
            <w:tcW w:w="22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7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总体目标</w:t>
            </w:r>
          </w:p>
        </w:tc>
        <w:tc>
          <w:tcPr>
            <w:tcW w:w="7686"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目标1：认真贯彻《退役士兵安置条例》，自主就业退役士兵实行地方一次性经济补助，是新时期退役士兵安置改革的重要内容，是贯彻国务院、中央军委重大决策部署的具体体现。</w:t>
            </w:r>
          </w:p>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目标2：带动退役士兵就业增长率，增加自主创新能力。</w:t>
            </w:r>
            <w:r>
              <w:rPr>
                <w:rFonts w:hint="eastAsia" w:ascii="仿宋_GB2312" w:hAnsi="仿宋_GB2312" w:eastAsia="仿宋_GB2312" w:cs="仿宋_GB2312"/>
                <w:color w:val="000000"/>
                <w:kern w:val="0"/>
                <w:sz w:val="24"/>
                <w:szCs w:val="24"/>
                <w:lang w:val="en-US" w:eastAsia="zh-CN" w:bidi="ar"/>
              </w:rPr>
              <w:tab/>
            </w:r>
            <w:r>
              <w:rPr>
                <w:rFonts w:hint="eastAsia" w:ascii="仿宋_GB2312" w:hAnsi="仿宋_GB2312" w:eastAsia="仿宋_GB2312" w:cs="仿宋_GB2312"/>
                <w:color w:val="000000"/>
                <w:kern w:val="0"/>
                <w:sz w:val="24"/>
                <w:szCs w:val="24"/>
                <w:lang w:val="en-US" w:eastAsia="zh-CN" w:bidi="ar"/>
              </w:rPr>
              <w:tab/>
            </w:r>
            <w:r>
              <w:rPr>
                <w:rFonts w:hint="eastAsia" w:ascii="仿宋_GB2312" w:hAnsi="仿宋_GB2312" w:eastAsia="仿宋_GB2312" w:cs="仿宋_GB2312"/>
                <w:color w:val="000000"/>
                <w:kern w:val="0"/>
                <w:sz w:val="24"/>
                <w:szCs w:val="24"/>
                <w:lang w:val="en-US" w:eastAsia="zh-CN" w:bidi="ar"/>
              </w:rPr>
              <w:tab/>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686"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9" w:hRule="atLeast"/>
        </w:trPr>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686"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7" w:hRule="atLeast"/>
        </w:trPr>
        <w:tc>
          <w:tcPr>
            <w:tcW w:w="7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年度绩效指标</w:t>
            </w:r>
          </w:p>
        </w:tc>
        <w:tc>
          <w:tcPr>
            <w:tcW w:w="86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一级指标</w:t>
            </w: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二级指标</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指标内容</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指标值</w:t>
            </w:r>
          </w:p>
        </w:tc>
        <w:tc>
          <w:tcPr>
            <w:tcW w:w="787"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7" w:hRule="atLeast"/>
        </w:trPr>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产出指标</w:t>
            </w:r>
          </w:p>
        </w:tc>
        <w:tc>
          <w:tcPr>
            <w:tcW w:w="1212"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数量指标</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2023年秋冬季自主就业退役士兵人数</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140人</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质量指标</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资金拨付及时率</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100%</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8" w:hRule="atLeast"/>
        </w:trPr>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时效指标</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自主就业一次性经济补助金发放时间</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2024年7月</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成本指标</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两年义务兵人均经济补助金标准</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4.91万元</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4" w:hRule="atLeast"/>
        </w:trPr>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直招士官人均经济补助金标准</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3.21万元</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效益指标</w:t>
            </w: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经济效益 指标</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8" w:hRule="atLeast"/>
        </w:trPr>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社会效益 指标</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提高自主就业退役士兵生活水平</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有效提高</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trPr>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生态效益 指标</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0" w:hRule="atLeast"/>
        </w:trPr>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可持续影响指标</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持续保障自主就业退役士兵人员权益</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≥1年</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4" w:hRule="atLeast"/>
        </w:trPr>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满意度指标</w:t>
            </w: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服务对象满意度指标</w:t>
            </w:r>
          </w:p>
        </w:tc>
        <w:tc>
          <w:tcPr>
            <w:tcW w:w="33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持续保障自主就业退役士兵人员权益</w:t>
            </w:r>
          </w:p>
        </w:tc>
        <w:tc>
          <w:tcPr>
            <w:tcW w:w="14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≥90%</w:t>
            </w:r>
          </w:p>
        </w:tc>
        <w:tc>
          <w:tcPr>
            <w:tcW w:w="7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bl>
    <w:p>
      <w:pPr>
        <w:rPr>
          <w:rFonts w:hint="eastAsia" w:ascii="华文楷体" w:hAnsi="华文楷体" w:eastAsia="华文楷体" w:cs="华文楷体"/>
          <w:color w:val="000000"/>
          <w:kern w:val="0"/>
          <w:sz w:val="30"/>
          <w:szCs w:val="30"/>
          <w:u w:val="none"/>
          <w:lang w:val="en-US" w:eastAsia="zh-CN" w:bidi="ar"/>
        </w:rPr>
      </w:pPr>
      <w:r>
        <w:rPr>
          <w:rFonts w:hint="eastAsia" w:ascii="华文楷体" w:hAnsi="华文楷体" w:eastAsia="华文楷体" w:cs="华文楷体"/>
          <w:color w:val="000000"/>
          <w:kern w:val="0"/>
          <w:sz w:val="30"/>
          <w:szCs w:val="30"/>
          <w:u w:val="none"/>
          <w:lang w:val="en-US" w:eastAsia="zh-CN" w:bidi="ar"/>
        </w:rPr>
        <w:t>07-</w:t>
      </w:r>
      <w:r>
        <w:rPr>
          <w:rFonts w:hint="eastAsia" w:ascii="华文楷体" w:hAnsi="华文楷体" w:eastAsia="华文楷体" w:cs="华文楷体"/>
          <w:color w:val="000000"/>
          <w:kern w:val="0"/>
          <w:sz w:val="30"/>
          <w:szCs w:val="30"/>
          <w:u w:val="single"/>
          <w:lang w:val="en-US" w:eastAsia="zh-CN" w:bidi="ar"/>
        </w:rPr>
        <w:t>就业</w:t>
      </w:r>
      <w:r>
        <w:rPr>
          <w:rFonts w:hint="eastAsia" w:ascii="华文楷体" w:hAnsi="华文楷体" w:eastAsia="华文楷体" w:cs="华文楷体"/>
          <w:color w:val="000000"/>
          <w:kern w:val="0"/>
          <w:sz w:val="30"/>
          <w:szCs w:val="30"/>
          <w:u w:val="none"/>
          <w:lang w:val="en-US" w:eastAsia="zh-CN" w:bidi="ar"/>
        </w:rPr>
        <w:t>领域</w:t>
      </w:r>
    </w:p>
    <w:tbl>
      <w:tblPr>
        <w:tblStyle w:val="5"/>
        <w:tblpPr w:leftFromText="180" w:rightFromText="180" w:vertAnchor="text" w:horzAnchor="page" w:tblpX="1906" w:tblpY="958"/>
        <w:tblOverlap w:val="never"/>
        <w:tblW w:w="843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76"/>
        <w:gridCol w:w="868"/>
        <w:gridCol w:w="1212"/>
        <w:gridCol w:w="2932"/>
        <w:gridCol w:w="1912"/>
        <w:gridCol w:w="7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3" w:hRule="atLeast"/>
        </w:trPr>
        <w:tc>
          <w:tcPr>
            <w:tcW w:w="8438" w:type="dxa"/>
            <w:gridSpan w:val="6"/>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ascii="黑体" w:hAnsi="宋体" w:eastAsia="黑体" w:cs="黑体"/>
                <w:i w:val="0"/>
                <w:iCs w:val="0"/>
                <w:color w:val="000000"/>
                <w:sz w:val="44"/>
                <w:szCs w:val="44"/>
                <w:u w:val="none"/>
              </w:rPr>
            </w:pPr>
            <w:r>
              <w:rPr>
                <w:rFonts w:hint="eastAsia" w:ascii="黑体" w:hAnsi="宋体" w:eastAsia="黑体" w:cs="黑体"/>
                <w:i w:val="0"/>
                <w:iCs w:val="0"/>
                <w:color w:val="000000"/>
                <w:kern w:val="0"/>
                <w:sz w:val="44"/>
                <w:szCs w:val="44"/>
                <w:u w:val="none"/>
                <w:lang w:val="en-US" w:eastAsia="zh-CN" w:bidi="ar"/>
              </w:rPr>
              <w:t>2024年部门预算专项业务经费绩效目标表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5" w:hRule="atLeast"/>
        </w:trPr>
        <w:tc>
          <w:tcPr>
            <w:tcW w:w="8438" w:type="dxa"/>
            <w:gridSpan w:val="6"/>
            <w:tcBorders>
              <w:top w:val="nil"/>
              <w:left w:val="nil"/>
              <w:bottom w:val="nil"/>
              <w:right w:val="nil"/>
            </w:tcBorders>
            <w:shd w:val="clear" w:color="auto" w:fill="auto"/>
            <w:vAlign w:val="center"/>
          </w:tcPr>
          <w:p>
            <w:pPr>
              <w:keepNext w:val="0"/>
              <w:keepLines w:val="0"/>
              <w:pageBreakBefore w:val="0"/>
              <w:kinsoku/>
              <w:wordWrap/>
              <w:overflowPunct/>
              <w:topLinePunct w:val="0"/>
              <w:autoSpaceDE/>
              <w:autoSpaceDN/>
              <w:bidi w:val="0"/>
              <w:adjustRightInd/>
              <w:snapToGrid/>
              <w:spacing w:line="434" w:lineRule="exact"/>
              <w:jc w:val="center"/>
              <w:rPr>
                <w:rFonts w:hint="eastAsia" w:ascii="仿宋" w:hAnsi="仿宋" w:eastAsia="仿宋" w:cs="仿宋"/>
                <w:i w:val="0"/>
                <w:iCs w:val="0"/>
                <w:color w:val="000000"/>
                <w:sz w:val="26"/>
                <w:szCs w:val="2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9" w:hRule="atLeast"/>
        </w:trPr>
        <w:tc>
          <w:tcPr>
            <w:tcW w:w="28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项目名称</w:t>
            </w:r>
          </w:p>
        </w:tc>
        <w:tc>
          <w:tcPr>
            <w:tcW w:w="55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惠民殡葬补助和节地生态安葬奖补资金市财函〔2023〕2267号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28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主管部门</w:t>
            </w:r>
          </w:p>
        </w:tc>
        <w:tc>
          <w:tcPr>
            <w:tcW w:w="55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西安市碑林区民政局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2856"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资金金额</w:t>
            </w:r>
          </w:p>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(万元)</w:t>
            </w:r>
          </w:p>
        </w:tc>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实施期资金总额：</w:t>
            </w:r>
          </w:p>
        </w:tc>
        <w:tc>
          <w:tcPr>
            <w:tcW w:w="2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80.00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285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其中：财政拨款</w:t>
            </w:r>
          </w:p>
        </w:tc>
        <w:tc>
          <w:tcPr>
            <w:tcW w:w="2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80.00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9" w:hRule="atLeast"/>
        </w:trPr>
        <w:tc>
          <w:tcPr>
            <w:tcW w:w="285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2932"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其他资金</w:t>
            </w:r>
          </w:p>
        </w:tc>
        <w:tc>
          <w:tcPr>
            <w:tcW w:w="2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7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总体目标</w:t>
            </w:r>
          </w:p>
        </w:tc>
        <w:tc>
          <w:tcPr>
            <w:tcW w:w="7662"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通过惠民补助旨在缓解困难群众家庭经济压力，促进社会和谐稳定。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66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662"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7" w:hRule="atLeast"/>
        </w:trPr>
        <w:tc>
          <w:tcPr>
            <w:tcW w:w="7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年度绩效指标</w:t>
            </w:r>
          </w:p>
        </w:tc>
        <w:tc>
          <w:tcPr>
            <w:tcW w:w="86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一级指标</w:t>
            </w: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二级指标</w:t>
            </w:r>
          </w:p>
        </w:tc>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指标内容</w:t>
            </w: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指标值</w:t>
            </w:r>
          </w:p>
        </w:tc>
        <w:tc>
          <w:tcPr>
            <w:tcW w:w="738"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7" w:hRule="atLeast"/>
        </w:trPr>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产出指标</w:t>
            </w:r>
          </w:p>
        </w:tc>
        <w:tc>
          <w:tcPr>
            <w:tcW w:w="1212"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数量指标</w:t>
            </w:r>
          </w:p>
        </w:tc>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惠民殡葬补助奖补人数</w:t>
            </w: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20人</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7" w:hRule="atLeast"/>
        </w:trPr>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节地生态安葬奖补人数</w:t>
            </w: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240人</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质量指标</w:t>
            </w:r>
          </w:p>
        </w:tc>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惠民殡葬补助节地生态安葬奖补发放准确率</w:t>
            </w: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100%</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8" w:hRule="atLeast"/>
        </w:trPr>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时效指标</w:t>
            </w:r>
          </w:p>
        </w:tc>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惠民殡葬补助、节地生态安葬奖补发放时间</w:t>
            </w: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2024年1-12月</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成本指标</w:t>
            </w:r>
          </w:p>
        </w:tc>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惠民殡葬补助标准</w:t>
            </w: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1058.5元/人</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1" w:hRule="atLeast"/>
        </w:trPr>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节地生态安葬奖补标准</w:t>
            </w: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2000-5000元/人</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效益指标</w:t>
            </w: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经济效益 指标</w:t>
            </w:r>
          </w:p>
        </w:tc>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8" w:hRule="atLeast"/>
        </w:trPr>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社会效益 指标</w:t>
            </w:r>
          </w:p>
        </w:tc>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缓解困难群众家庭经济压力，促进社会和谐稳定</w:t>
            </w: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有效缓解</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trPr>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生态效益 指标</w:t>
            </w:r>
          </w:p>
        </w:tc>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5" w:hRule="atLeast"/>
        </w:trPr>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可持续影响指标</w:t>
            </w:r>
          </w:p>
        </w:tc>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缓解困难群众家庭经济压力作用年限</w:t>
            </w: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≥1年</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6" w:hRule="atLeast"/>
        </w:trPr>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满意度指标</w:t>
            </w: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服务对象满意度指标</w:t>
            </w:r>
          </w:p>
        </w:tc>
        <w:tc>
          <w:tcPr>
            <w:tcW w:w="2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惠民殡葬补助节地生态安葬奖补家庭满意度</w:t>
            </w:r>
          </w:p>
        </w:tc>
        <w:tc>
          <w:tcPr>
            <w:tcW w:w="19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≥90%</w:t>
            </w:r>
          </w:p>
        </w:tc>
        <w:tc>
          <w:tcPr>
            <w:tcW w:w="7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bl>
    <w:p>
      <w:pPr>
        <w:rPr>
          <w:rFonts w:hint="eastAsia" w:ascii="华文楷体" w:hAnsi="华文楷体" w:eastAsia="华文楷体" w:cs="华文楷体"/>
          <w:color w:val="000000"/>
          <w:kern w:val="0"/>
          <w:sz w:val="30"/>
          <w:szCs w:val="30"/>
          <w:u w:val="none"/>
          <w:lang w:val="en-US" w:eastAsia="zh-CN" w:bidi="ar"/>
        </w:rPr>
      </w:pPr>
      <w:r>
        <w:rPr>
          <w:rFonts w:hint="eastAsia" w:ascii="华文楷体" w:hAnsi="华文楷体" w:eastAsia="华文楷体" w:cs="华文楷体"/>
          <w:color w:val="000000"/>
          <w:kern w:val="0"/>
          <w:sz w:val="30"/>
          <w:szCs w:val="30"/>
          <w:u w:val="none"/>
          <w:lang w:val="en-US" w:eastAsia="zh-CN" w:bidi="ar"/>
        </w:rPr>
        <w:t>08-</w:t>
      </w:r>
      <w:r>
        <w:rPr>
          <w:rFonts w:hint="eastAsia" w:ascii="华文楷体" w:hAnsi="华文楷体" w:eastAsia="华文楷体" w:cs="华文楷体"/>
          <w:color w:val="000000"/>
          <w:kern w:val="0"/>
          <w:sz w:val="30"/>
          <w:szCs w:val="30"/>
          <w:u w:val="single"/>
          <w:lang w:val="en-US" w:eastAsia="zh-CN" w:bidi="ar"/>
        </w:rPr>
        <w:t>社会福利与社会事务</w:t>
      </w:r>
      <w:r>
        <w:rPr>
          <w:rFonts w:hint="eastAsia" w:ascii="华文楷体" w:hAnsi="华文楷体" w:eastAsia="华文楷体" w:cs="华文楷体"/>
          <w:color w:val="000000"/>
          <w:kern w:val="0"/>
          <w:sz w:val="30"/>
          <w:szCs w:val="30"/>
          <w:u w:val="none"/>
          <w:lang w:val="en-US" w:eastAsia="zh-CN" w:bidi="ar"/>
        </w:rPr>
        <w:t>领域</w:t>
      </w:r>
    </w:p>
    <w:tbl>
      <w:tblPr>
        <w:tblStyle w:val="5"/>
        <w:tblpPr w:leftFromText="180" w:rightFromText="180" w:vertAnchor="text" w:horzAnchor="page" w:tblpX="1882" w:tblpY="700"/>
        <w:tblOverlap w:val="never"/>
        <w:tblW w:w="844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76"/>
        <w:gridCol w:w="868"/>
        <w:gridCol w:w="1212"/>
        <w:gridCol w:w="3081"/>
        <w:gridCol w:w="1762"/>
        <w:gridCol w:w="7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3" w:hRule="atLeast"/>
        </w:trPr>
        <w:tc>
          <w:tcPr>
            <w:tcW w:w="8449" w:type="dxa"/>
            <w:gridSpan w:val="6"/>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ascii="黑体" w:hAnsi="宋体" w:eastAsia="黑体" w:cs="黑体"/>
                <w:i w:val="0"/>
                <w:iCs w:val="0"/>
                <w:color w:val="000000"/>
                <w:sz w:val="44"/>
                <w:szCs w:val="44"/>
                <w:u w:val="none"/>
              </w:rPr>
            </w:pPr>
            <w:r>
              <w:rPr>
                <w:rFonts w:hint="eastAsia" w:ascii="黑体" w:hAnsi="宋体" w:eastAsia="黑体" w:cs="黑体"/>
                <w:i w:val="0"/>
                <w:iCs w:val="0"/>
                <w:color w:val="000000"/>
                <w:kern w:val="0"/>
                <w:sz w:val="44"/>
                <w:szCs w:val="44"/>
                <w:u w:val="none"/>
                <w:lang w:val="en-US" w:eastAsia="zh-CN" w:bidi="ar"/>
              </w:rPr>
              <w:t>2024年部门预算专项业务经费绩效目标表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9" w:hRule="atLeast"/>
        </w:trPr>
        <w:tc>
          <w:tcPr>
            <w:tcW w:w="8449" w:type="dxa"/>
            <w:gridSpan w:val="6"/>
            <w:tcBorders>
              <w:top w:val="nil"/>
              <w:left w:val="nil"/>
              <w:bottom w:val="nil"/>
              <w:right w:val="nil"/>
            </w:tcBorders>
            <w:shd w:val="clear" w:color="auto" w:fill="auto"/>
            <w:vAlign w:val="center"/>
          </w:tcPr>
          <w:p>
            <w:pPr>
              <w:keepNext w:val="0"/>
              <w:keepLines w:val="0"/>
              <w:pageBreakBefore w:val="0"/>
              <w:kinsoku/>
              <w:wordWrap/>
              <w:overflowPunct/>
              <w:topLinePunct w:val="0"/>
              <w:autoSpaceDE/>
              <w:autoSpaceDN/>
              <w:bidi w:val="0"/>
              <w:adjustRightInd/>
              <w:snapToGrid/>
              <w:spacing w:line="434" w:lineRule="exact"/>
              <w:jc w:val="center"/>
              <w:rPr>
                <w:rFonts w:hint="eastAsia" w:ascii="仿宋" w:hAnsi="仿宋" w:eastAsia="仿宋" w:cs="仿宋"/>
                <w:i w:val="0"/>
                <w:iCs w:val="0"/>
                <w:color w:val="000000"/>
                <w:sz w:val="26"/>
                <w:szCs w:val="2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1" w:hRule="atLeast"/>
        </w:trPr>
        <w:tc>
          <w:tcPr>
            <w:tcW w:w="28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项目名称</w:t>
            </w:r>
          </w:p>
        </w:tc>
        <w:tc>
          <w:tcPr>
            <w:tcW w:w="559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人才工作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4" w:hRule="atLeast"/>
        </w:trPr>
        <w:tc>
          <w:tcPr>
            <w:tcW w:w="285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主管部门</w:t>
            </w:r>
          </w:p>
        </w:tc>
        <w:tc>
          <w:tcPr>
            <w:tcW w:w="559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中共西安市碑林区委组织部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2856"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资金金额</w:t>
            </w:r>
          </w:p>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(万元)</w:t>
            </w:r>
          </w:p>
        </w:tc>
        <w:tc>
          <w:tcPr>
            <w:tcW w:w="3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实施期资金总额：</w:t>
            </w:r>
          </w:p>
        </w:tc>
        <w:tc>
          <w:tcPr>
            <w:tcW w:w="25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85.00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285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3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其中：财政拨款</w:t>
            </w:r>
          </w:p>
        </w:tc>
        <w:tc>
          <w:tcPr>
            <w:tcW w:w="25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85.00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2" w:hRule="atLeast"/>
        </w:trPr>
        <w:tc>
          <w:tcPr>
            <w:tcW w:w="285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3081"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其他资金</w:t>
            </w:r>
          </w:p>
        </w:tc>
        <w:tc>
          <w:tcPr>
            <w:tcW w:w="251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776"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总体目标</w:t>
            </w:r>
          </w:p>
        </w:tc>
        <w:tc>
          <w:tcPr>
            <w:tcW w:w="7673"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围绕省委“三个年活动”和市委“八个方面重点工作”，结合碑林区“241”现代产业体系需求，统筹安排2024年人才工作任务。认真贯彻落实中央和省委、市委关于人才工作的安排部署，大力实施人才强区战略，通过举办各类招才引智、人才主题活动，兑现人才项目扶持政策，优化人才全生命周期服务举措，着力打造一流的人才发展和科技创新环境，不断提升“才聚碑林  智绘古都”人才工作品牌影响力。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673"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673"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9" w:hRule="atLeast"/>
        </w:trPr>
        <w:tc>
          <w:tcPr>
            <w:tcW w:w="7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年度绩效指标</w:t>
            </w:r>
          </w:p>
        </w:tc>
        <w:tc>
          <w:tcPr>
            <w:tcW w:w="86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一级指标</w:t>
            </w: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二级指标</w:t>
            </w:r>
          </w:p>
        </w:tc>
        <w:tc>
          <w:tcPr>
            <w:tcW w:w="3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指标内容</w:t>
            </w:r>
          </w:p>
        </w:tc>
        <w:tc>
          <w:tcPr>
            <w:tcW w:w="1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指标值</w:t>
            </w:r>
          </w:p>
        </w:tc>
        <w:tc>
          <w:tcPr>
            <w:tcW w:w="75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产出指标</w:t>
            </w:r>
          </w:p>
        </w:tc>
        <w:tc>
          <w:tcPr>
            <w:tcW w:w="1212"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数量指标</w:t>
            </w:r>
          </w:p>
        </w:tc>
        <w:tc>
          <w:tcPr>
            <w:tcW w:w="3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仿宋_GB2312" w:hAnsi="仿宋_GB2312" w:eastAsia="仿宋_GB2312" w:cs="仿宋_GB2312"/>
                <w:color w:val="000000"/>
                <w:kern w:val="0"/>
                <w:sz w:val="24"/>
                <w:szCs w:val="24"/>
                <w:lang w:val="en-US" w:eastAsia="zh-CN" w:bidi="ar"/>
              </w:rPr>
            </w:pPr>
            <w:r>
              <w:rPr>
                <w:rFonts w:hint="default" w:ascii="仿宋_GB2312" w:hAnsi="仿宋_GB2312" w:eastAsia="仿宋_GB2312" w:cs="仿宋_GB2312"/>
                <w:color w:val="000000"/>
                <w:kern w:val="0"/>
                <w:sz w:val="24"/>
                <w:szCs w:val="24"/>
                <w:lang w:val="en-US" w:eastAsia="zh-CN" w:bidi="ar"/>
              </w:rPr>
              <w:t>院士及高端人才深化服务工作</w:t>
            </w:r>
          </w:p>
        </w:tc>
        <w:tc>
          <w:tcPr>
            <w:tcW w:w="1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6000小时</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9" w:hRule="atLeast"/>
        </w:trPr>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3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区级领导联系服务院士及高层次人才</w:t>
            </w:r>
          </w:p>
        </w:tc>
        <w:tc>
          <w:tcPr>
            <w:tcW w:w="1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86人次</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9" w:hRule="atLeast"/>
        </w:trPr>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3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举办人才主题日活动</w:t>
            </w:r>
          </w:p>
        </w:tc>
        <w:tc>
          <w:tcPr>
            <w:tcW w:w="1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1次</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9" w:hRule="atLeast"/>
        </w:trPr>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质量指标</w:t>
            </w:r>
          </w:p>
        </w:tc>
        <w:tc>
          <w:tcPr>
            <w:tcW w:w="3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项目经费拨付及时率</w:t>
            </w:r>
          </w:p>
        </w:tc>
        <w:tc>
          <w:tcPr>
            <w:tcW w:w="1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9" w:hRule="atLeast"/>
        </w:trPr>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3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系列人才活动完成率</w:t>
            </w:r>
          </w:p>
        </w:tc>
        <w:tc>
          <w:tcPr>
            <w:tcW w:w="1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100%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trPr>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时效指标</w:t>
            </w:r>
          </w:p>
        </w:tc>
        <w:tc>
          <w:tcPr>
            <w:tcW w:w="3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活动开展时限</w:t>
            </w:r>
          </w:p>
        </w:tc>
        <w:tc>
          <w:tcPr>
            <w:tcW w:w="1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2024年1-12月</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9" w:hRule="atLeast"/>
        </w:trPr>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成本指标</w:t>
            </w:r>
          </w:p>
        </w:tc>
        <w:tc>
          <w:tcPr>
            <w:tcW w:w="3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院士及高端人才深化服务工作</w:t>
            </w:r>
          </w:p>
        </w:tc>
        <w:tc>
          <w:tcPr>
            <w:tcW w:w="1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28万元</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1" w:hRule="atLeast"/>
        </w:trPr>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3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区级领导联系服务院士及高层次人才及其它</w:t>
            </w:r>
          </w:p>
        </w:tc>
        <w:tc>
          <w:tcPr>
            <w:tcW w:w="1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57万元</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2" w:hRule="atLeast"/>
        </w:trPr>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效益指标</w:t>
            </w: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经济效益 指标</w:t>
            </w:r>
          </w:p>
        </w:tc>
        <w:tc>
          <w:tcPr>
            <w:tcW w:w="3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1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8" w:hRule="atLeast"/>
        </w:trPr>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社会效益 指标</w:t>
            </w:r>
          </w:p>
        </w:tc>
        <w:tc>
          <w:tcPr>
            <w:tcW w:w="3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提升人才吸引力，缓解人才压力</w:t>
            </w:r>
          </w:p>
        </w:tc>
        <w:tc>
          <w:tcPr>
            <w:tcW w:w="1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有效缓解</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0" w:hRule="atLeast"/>
        </w:trPr>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生态效益 指标</w:t>
            </w:r>
          </w:p>
        </w:tc>
        <w:tc>
          <w:tcPr>
            <w:tcW w:w="3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1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5" w:hRule="atLeast"/>
        </w:trPr>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可持续影响指标</w:t>
            </w:r>
          </w:p>
        </w:tc>
        <w:tc>
          <w:tcPr>
            <w:tcW w:w="3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激发人才优势作用</w:t>
            </w:r>
          </w:p>
        </w:tc>
        <w:tc>
          <w:tcPr>
            <w:tcW w:w="1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≥1年</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6" w:hRule="atLeast"/>
        </w:trPr>
        <w:tc>
          <w:tcPr>
            <w:tcW w:w="7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满意度指标</w:t>
            </w: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服务对象满意度指标</w:t>
            </w:r>
          </w:p>
        </w:tc>
        <w:tc>
          <w:tcPr>
            <w:tcW w:w="308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人才满意度</w:t>
            </w:r>
          </w:p>
        </w:tc>
        <w:tc>
          <w:tcPr>
            <w:tcW w:w="1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≥90%</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bl>
    <w:p>
      <w:pPr>
        <w:rPr>
          <w:rFonts w:hint="eastAsia" w:ascii="华文楷体" w:hAnsi="华文楷体" w:eastAsia="华文楷体" w:cs="华文楷体"/>
          <w:color w:val="000000"/>
          <w:kern w:val="0"/>
          <w:sz w:val="30"/>
          <w:szCs w:val="30"/>
          <w:u w:val="none"/>
          <w:lang w:val="en-US" w:eastAsia="zh-CN" w:bidi="ar"/>
        </w:rPr>
      </w:pPr>
      <w:r>
        <w:rPr>
          <w:rFonts w:hint="eastAsia" w:ascii="华文楷体" w:hAnsi="华文楷体" w:eastAsia="华文楷体" w:cs="华文楷体"/>
          <w:color w:val="000000"/>
          <w:kern w:val="0"/>
          <w:sz w:val="30"/>
          <w:szCs w:val="30"/>
          <w:u w:val="none"/>
          <w:lang w:val="en-US" w:eastAsia="zh-CN" w:bidi="ar"/>
        </w:rPr>
        <w:t>09-</w:t>
      </w:r>
      <w:r>
        <w:rPr>
          <w:rFonts w:hint="eastAsia" w:ascii="华文楷体" w:hAnsi="华文楷体" w:eastAsia="华文楷体" w:cs="华文楷体"/>
          <w:color w:val="000000"/>
          <w:kern w:val="0"/>
          <w:sz w:val="30"/>
          <w:szCs w:val="30"/>
          <w:u w:val="single"/>
          <w:lang w:val="en-US" w:eastAsia="zh-CN" w:bidi="ar"/>
        </w:rPr>
        <w:t>人才</w:t>
      </w:r>
      <w:r>
        <w:rPr>
          <w:rFonts w:hint="eastAsia" w:ascii="华文楷体" w:hAnsi="华文楷体" w:eastAsia="华文楷体" w:cs="华文楷体"/>
          <w:color w:val="000000"/>
          <w:kern w:val="0"/>
          <w:sz w:val="30"/>
          <w:szCs w:val="30"/>
          <w:u w:val="none"/>
          <w:lang w:val="en-US" w:eastAsia="zh-CN" w:bidi="ar"/>
        </w:rPr>
        <w:t>领域</w:t>
      </w:r>
    </w:p>
    <w:tbl>
      <w:tblPr>
        <w:tblStyle w:val="5"/>
        <w:tblpPr w:leftFromText="180" w:rightFromText="180" w:vertAnchor="text" w:horzAnchor="page" w:tblpX="1731" w:tblpY="833"/>
        <w:tblOverlap w:val="never"/>
        <w:tblW w:w="872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27"/>
        <w:gridCol w:w="868"/>
        <w:gridCol w:w="1212"/>
        <w:gridCol w:w="2818"/>
        <w:gridCol w:w="2200"/>
        <w:gridCol w:w="8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3" w:hRule="atLeast"/>
        </w:trPr>
        <w:tc>
          <w:tcPr>
            <w:tcW w:w="8725" w:type="dxa"/>
            <w:gridSpan w:val="6"/>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ascii="黑体" w:hAnsi="宋体" w:eastAsia="黑体" w:cs="黑体"/>
                <w:i w:val="0"/>
                <w:iCs w:val="0"/>
                <w:color w:val="000000"/>
                <w:sz w:val="44"/>
                <w:szCs w:val="44"/>
                <w:u w:val="none"/>
              </w:rPr>
            </w:pPr>
            <w:r>
              <w:rPr>
                <w:rFonts w:hint="eastAsia" w:ascii="黑体" w:hAnsi="宋体" w:eastAsia="黑体" w:cs="黑体"/>
                <w:i w:val="0"/>
                <w:iCs w:val="0"/>
                <w:color w:val="000000"/>
                <w:kern w:val="0"/>
                <w:sz w:val="44"/>
                <w:szCs w:val="44"/>
                <w:u w:val="none"/>
                <w:lang w:val="en-US" w:eastAsia="zh-CN" w:bidi="ar"/>
              </w:rPr>
              <w:t>2024年部门预算专项业务经费绩效目标表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8725" w:type="dxa"/>
            <w:gridSpan w:val="6"/>
            <w:tcBorders>
              <w:top w:val="nil"/>
              <w:left w:val="nil"/>
              <w:bottom w:val="nil"/>
              <w:right w:val="nil"/>
            </w:tcBorders>
            <w:shd w:val="clear" w:color="auto" w:fill="auto"/>
            <w:vAlign w:val="center"/>
          </w:tcPr>
          <w:p>
            <w:pPr>
              <w:keepNext w:val="0"/>
              <w:keepLines w:val="0"/>
              <w:pageBreakBefore w:val="0"/>
              <w:kinsoku/>
              <w:wordWrap/>
              <w:overflowPunct/>
              <w:topLinePunct w:val="0"/>
              <w:autoSpaceDE/>
              <w:autoSpaceDN/>
              <w:bidi w:val="0"/>
              <w:adjustRightInd/>
              <w:snapToGrid/>
              <w:spacing w:line="434" w:lineRule="exact"/>
              <w:jc w:val="center"/>
              <w:rPr>
                <w:rFonts w:hint="eastAsia" w:ascii="仿宋" w:hAnsi="仿宋" w:eastAsia="仿宋" w:cs="仿宋"/>
                <w:i w:val="0"/>
                <w:iCs w:val="0"/>
                <w:color w:val="000000"/>
                <w:sz w:val="26"/>
                <w:szCs w:val="2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trPr>
        <w:tc>
          <w:tcPr>
            <w:tcW w:w="290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项目名称</w:t>
            </w:r>
          </w:p>
        </w:tc>
        <w:tc>
          <w:tcPr>
            <w:tcW w:w="58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生态环境治理经费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4" w:hRule="atLeast"/>
        </w:trPr>
        <w:tc>
          <w:tcPr>
            <w:tcW w:w="290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主管部门</w:t>
            </w:r>
          </w:p>
        </w:tc>
        <w:tc>
          <w:tcPr>
            <w:tcW w:w="581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西安市生态环境局碑林分局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2907"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资金金额</w:t>
            </w:r>
          </w:p>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(万元)</w:t>
            </w:r>
          </w:p>
        </w:tc>
        <w:tc>
          <w:tcPr>
            <w:tcW w:w="2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实施期资金总额：</w:t>
            </w:r>
          </w:p>
        </w:tc>
        <w:tc>
          <w:tcPr>
            <w:tcW w:w="30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442.92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290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2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其中：财政拨款</w:t>
            </w:r>
          </w:p>
        </w:tc>
        <w:tc>
          <w:tcPr>
            <w:tcW w:w="30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442.92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2" w:hRule="atLeast"/>
        </w:trPr>
        <w:tc>
          <w:tcPr>
            <w:tcW w:w="290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2818" w:type="dxa"/>
            <w:tcBorders>
              <w:top w:val="single" w:color="000000" w:sz="4" w:space="0"/>
              <w:left w:val="single" w:color="000000" w:sz="4" w:space="0"/>
              <w:bottom w:val="nil"/>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其他资金</w:t>
            </w:r>
          </w:p>
        </w:tc>
        <w:tc>
          <w:tcPr>
            <w:tcW w:w="30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总体目标</w:t>
            </w:r>
          </w:p>
        </w:tc>
        <w:tc>
          <w:tcPr>
            <w:tcW w:w="7898" w:type="dxa"/>
            <w:gridSpan w:val="5"/>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通过大气污染治理专项行动，强化全区涉气污染源检查频次和监管力度，确保各项大气污染防治措施落实到位，碑林区空气质量稳步提升。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898"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898" w:type="dxa"/>
            <w:gridSpan w:val="5"/>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9" w:hRule="atLeast"/>
        </w:trPr>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年度绩效指标</w:t>
            </w:r>
          </w:p>
        </w:tc>
        <w:tc>
          <w:tcPr>
            <w:tcW w:w="868"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一级指标</w:t>
            </w: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二级指标</w:t>
            </w:r>
          </w:p>
        </w:tc>
        <w:tc>
          <w:tcPr>
            <w:tcW w:w="2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指标内容</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指标值</w:t>
            </w:r>
          </w:p>
        </w:tc>
        <w:tc>
          <w:tcPr>
            <w:tcW w:w="800"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产出指标</w:t>
            </w:r>
          </w:p>
        </w:tc>
        <w:tc>
          <w:tcPr>
            <w:tcW w:w="1212"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数量指标</w:t>
            </w:r>
          </w:p>
        </w:tc>
        <w:tc>
          <w:tcPr>
            <w:tcW w:w="2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仿宋_GB2312" w:hAnsi="仿宋_GB2312" w:eastAsia="仿宋_GB2312" w:cs="仿宋_GB2312"/>
                <w:color w:val="000000"/>
                <w:kern w:val="0"/>
                <w:sz w:val="24"/>
                <w:szCs w:val="24"/>
                <w:lang w:val="en-US" w:eastAsia="zh-CN" w:bidi="ar"/>
              </w:rPr>
            </w:pPr>
            <w:r>
              <w:rPr>
                <w:rFonts w:hint="default" w:ascii="仿宋_GB2312" w:hAnsi="仿宋_GB2312" w:eastAsia="仿宋_GB2312" w:cs="仿宋_GB2312"/>
                <w:color w:val="000000"/>
                <w:kern w:val="0"/>
                <w:sz w:val="24"/>
                <w:szCs w:val="24"/>
                <w:lang w:val="en-US" w:eastAsia="zh-CN" w:bidi="ar"/>
              </w:rPr>
              <w:t>在职人员数量</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82人</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9" w:hRule="atLeast"/>
        </w:trPr>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2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房屋租赁面积</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238平方米</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9" w:hRule="atLeast"/>
        </w:trPr>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2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采购办公用品数量</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1"/>
                <w:szCs w:val="21"/>
                <w:lang w:val="en-US" w:eastAsia="zh-CN" w:bidi="ar"/>
              </w:rPr>
              <w:t>电脑30台、传真机4台、笔记本办公电脑2台、一体机1台、电话8部、碎纸机1台。</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9" w:hRule="atLeast"/>
        </w:trPr>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质量指标</w:t>
            </w:r>
          </w:p>
        </w:tc>
        <w:tc>
          <w:tcPr>
            <w:tcW w:w="2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资金拨付及时率</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100%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trPr>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2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产品质量合格率</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100%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0" w:hRule="atLeast"/>
        </w:trPr>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时效指标</w:t>
            </w:r>
          </w:p>
        </w:tc>
        <w:tc>
          <w:tcPr>
            <w:tcW w:w="2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资金拨付时限</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2024年1-12月</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0" w:hRule="atLeast"/>
        </w:trPr>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2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产品购置时间</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2024年2-12月</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成本指标</w:t>
            </w:r>
          </w:p>
        </w:tc>
        <w:tc>
          <w:tcPr>
            <w:tcW w:w="2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人员工资</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373.92万元</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1" w:hRule="atLeast"/>
        </w:trPr>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2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房租、日常公用经费及其它</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69万元</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2" w:hRule="atLeast"/>
        </w:trPr>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效益指标</w:t>
            </w: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经济效益 指标</w:t>
            </w:r>
          </w:p>
        </w:tc>
        <w:tc>
          <w:tcPr>
            <w:tcW w:w="2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8" w:hRule="atLeast"/>
        </w:trPr>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社会效益 指标</w:t>
            </w:r>
          </w:p>
        </w:tc>
        <w:tc>
          <w:tcPr>
            <w:tcW w:w="2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提升各项重点环境质量指标</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不断提升</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生态效益 指标</w:t>
            </w:r>
          </w:p>
        </w:tc>
        <w:tc>
          <w:tcPr>
            <w:tcW w:w="2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改善空气环境质量</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显著改善</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2" w:hRule="atLeast"/>
        </w:trPr>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可持续影响指标</w:t>
            </w:r>
          </w:p>
        </w:tc>
        <w:tc>
          <w:tcPr>
            <w:tcW w:w="2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持续推进生态环境建设</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1年</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1" w:hRule="atLeast"/>
        </w:trPr>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868"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满意度指标</w:t>
            </w:r>
          </w:p>
        </w:tc>
        <w:tc>
          <w:tcPr>
            <w:tcW w:w="12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服务对象满意度指标</w:t>
            </w:r>
          </w:p>
        </w:tc>
        <w:tc>
          <w:tcPr>
            <w:tcW w:w="2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单位职工满意度</w:t>
            </w:r>
          </w:p>
        </w:tc>
        <w:tc>
          <w:tcPr>
            <w:tcW w:w="2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≥100%</w:t>
            </w:r>
          </w:p>
        </w:tc>
        <w:tc>
          <w:tcPr>
            <w:tcW w:w="8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bl>
    <w:p>
      <w:pPr>
        <w:numPr>
          <w:ilvl w:val="0"/>
          <w:numId w:val="0"/>
        </w:numPr>
        <w:rPr>
          <w:rFonts w:hint="eastAsia" w:ascii="华文楷体" w:hAnsi="华文楷体" w:eastAsia="华文楷体" w:cs="华文楷体"/>
          <w:color w:val="000000"/>
          <w:kern w:val="0"/>
          <w:sz w:val="30"/>
          <w:szCs w:val="30"/>
          <w:u w:val="none"/>
          <w:lang w:val="en-US" w:eastAsia="zh-CN" w:bidi="ar"/>
        </w:rPr>
      </w:pPr>
      <w:r>
        <w:rPr>
          <w:rFonts w:hint="eastAsia" w:ascii="华文楷体" w:hAnsi="华文楷体" w:eastAsia="华文楷体" w:cs="华文楷体"/>
          <w:color w:val="000000"/>
          <w:kern w:val="0"/>
          <w:sz w:val="30"/>
          <w:szCs w:val="30"/>
          <w:u w:val="none"/>
          <w:lang w:val="en-US" w:eastAsia="zh-CN" w:bidi="ar"/>
        </w:rPr>
        <w:t>10-</w:t>
      </w:r>
      <w:r>
        <w:rPr>
          <w:rFonts w:hint="eastAsia" w:ascii="华文楷体" w:hAnsi="华文楷体" w:eastAsia="华文楷体" w:cs="华文楷体"/>
          <w:color w:val="000000"/>
          <w:kern w:val="0"/>
          <w:sz w:val="30"/>
          <w:szCs w:val="30"/>
          <w:u w:val="single"/>
          <w:lang w:val="en-US" w:eastAsia="zh-CN" w:bidi="ar"/>
        </w:rPr>
        <w:t>生态环境</w:t>
      </w:r>
      <w:r>
        <w:rPr>
          <w:rFonts w:hint="eastAsia" w:ascii="华文楷体" w:hAnsi="华文楷体" w:eastAsia="华文楷体" w:cs="华文楷体"/>
          <w:color w:val="000000"/>
          <w:kern w:val="0"/>
          <w:sz w:val="30"/>
          <w:szCs w:val="30"/>
          <w:u w:val="none"/>
          <w:lang w:val="en-US" w:eastAsia="zh-CN" w:bidi="ar"/>
        </w:rPr>
        <w:t>领域</w:t>
      </w:r>
    </w:p>
    <w:tbl>
      <w:tblPr>
        <w:tblStyle w:val="5"/>
        <w:tblpPr w:leftFromText="180" w:rightFromText="180" w:vertAnchor="text" w:horzAnchor="page" w:tblpX="1694" w:tblpY="803"/>
        <w:tblOverlap w:val="never"/>
        <w:tblW w:w="902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7"/>
        <w:gridCol w:w="750"/>
        <w:gridCol w:w="1338"/>
        <w:gridCol w:w="2188"/>
        <w:gridCol w:w="1449"/>
        <w:gridCol w:w="1464"/>
        <w:gridCol w:w="262"/>
        <w:gridCol w:w="7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3" w:hRule="atLeast"/>
        </w:trPr>
        <w:tc>
          <w:tcPr>
            <w:tcW w:w="9026" w:type="dxa"/>
            <w:gridSpan w:val="8"/>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ascii="黑体" w:hAnsi="宋体" w:eastAsia="黑体" w:cs="黑体"/>
                <w:i w:val="0"/>
                <w:iCs w:val="0"/>
                <w:color w:val="000000"/>
                <w:sz w:val="44"/>
                <w:szCs w:val="44"/>
                <w:u w:val="none"/>
              </w:rPr>
            </w:pPr>
            <w:r>
              <w:rPr>
                <w:rFonts w:hint="eastAsia" w:ascii="黑体" w:hAnsi="宋体" w:eastAsia="黑体" w:cs="黑体"/>
                <w:i w:val="0"/>
                <w:iCs w:val="0"/>
                <w:color w:val="000000"/>
                <w:kern w:val="0"/>
                <w:sz w:val="44"/>
                <w:szCs w:val="44"/>
                <w:u w:val="none"/>
                <w:lang w:val="en-US" w:eastAsia="zh-CN" w:bidi="ar"/>
              </w:rPr>
              <w:t>2024年部门预算专项业务经费绩效目标表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9" w:hRule="atLeast"/>
        </w:trPr>
        <w:tc>
          <w:tcPr>
            <w:tcW w:w="9026" w:type="dxa"/>
            <w:gridSpan w:val="8"/>
            <w:tcBorders>
              <w:top w:val="nil"/>
              <w:left w:val="nil"/>
              <w:bottom w:val="nil"/>
              <w:right w:val="nil"/>
            </w:tcBorders>
            <w:shd w:val="clear" w:color="auto" w:fill="auto"/>
            <w:vAlign w:val="center"/>
          </w:tcPr>
          <w:p>
            <w:pPr>
              <w:keepNext w:val="0"/>
              <w:keepLines w:val="0"/>
              <w:pageBreakBefore w:val="0"/>
              <w:kinsoku/>
              <w:wordWrap/>
              <w:overflowPunct/>
              <w:topLinePunct w:val="0"/>
              <w:autoSpaceDE/>
              <w:autoSpaceDN/>
              <w:bidi w:val="0"/>
              <w:adjustRightInd/>
              <w:snapToGrid/>
              <w:spacing w:line="434" w:lineRule="exact"/>
              <w:jc w:val="center"/>
              <w:rPr>
                <w:rFonts w:hint="eastAsia" w:ascii="仿宋" w:hAnsi="仿宋" w:eastAsia="仿宋" w:cs="仿宋"/>
                <w:i w:val="0"/>
                <w:iCs w:val="0"/>
                <w:color w:val="000000"/>
                <w:sz w:val="26"/>
                <w:szCs w:val="2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1" w:hRule="atLeast"/>
        </w:trPr>
        <w:tc>
          <w:tcPr>
            <w:tcW w:w="28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项目名称</w:t>
            </w:r>
          </w:p>
        </w:tc>
        <w:tc>
          <w:tcPr>
            <w:tcW w:w="615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2024年市级体彩公益金支持全民健身事业发展和重大赛事专项补助资金（市财函2023 2317号）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4" w:hRule="atLeast"/>
        </w:trPr>
        <w:tc>
          <w:tcPr>
            <w:tcW w:w="287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主管部门</w:t>
            </w:r>
          </w:p>
        </w:tc>
        <w:tc>
          <w:tcPr>
            <w:tcW w:w="3637"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西安市碑林区文化和旅游体育局</w:t>
            </w:r>
          </w:p>
        </w:tc>
        <w:tc>
          <w:tcPr>
            <w:tcW w:w="1464"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实施期限</w:t>
            </w:r>
          </w:p>
        </w:tc>
        <w:tc>
          <w:tcPr>
            <w:tcW w:w="1050"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9" w:hRule="atLeast"/>
        </w:trPr>
        <w:tc>
          <w:tcPr>
            <w:tcW w:w="2875"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资金金额</w:t>
            </w:r>
          </w:p>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(万元)</w:t>
            </w:r>
          </w:p>
        </w:tc>
        <w:tc>
          <w:tcPr>
            <w:tcW w:w="2188"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实施期资金总额：</w:t>
            </w:r>
          </w:p>
        </w:tc>
        <w:tc>
          <w:tcPr>
            <w:tcW w:w="1449"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261.60</w:t>
            </w:r>
          </w:p>
        </w:tc>
        <w:tc>
          <w:tcPr>
            <w:tcW w:w="1464"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年度资金总额：</w:t>
            </w:r>
          </w:p>
        </w:tc>
        <w:tc>
          <w:tcPr>
            <w:tcW w:w="1050"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261.60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trPr>
        <w:tc>
          <w:tcPr>
            <w:tcW w:w="287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2188"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其中：财政拨款</w:t>
            </w:r>
          </w:p>
        </w:tc>
        <w:tc>
          <w:tcPr>
            <w:tcW w:w="1449"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261.60</w:t>
            </w:r>
          </w:p>
        </w:tc>
        <w:tc>
          <w:tcPr>
            <w:tcW w:w="1464"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其中：财政拨款</w:t>
            </w:r>
          </w:p>
        </w:tc>
        <w:tc>
          <w:tcPr>
            <w:tcW w:w="1050"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261.60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87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2188" w:type="dxa"/>
            <w:tcBorders>
              <w:top w:val="single" w:color="000000" w:sz="4" w:space="0"/>
              <w:left w:val="single" w:color="000000" w:sz="4" w:space="0"/>
              <w:bottom w:val="nil"/>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其他资金</w:t>
            </w:r>
          </w:p>
        </w:tc>
        <w:tc>
          <w:tcPr>
            <w:tcW w:w="1449" w:type="dxa"/>
            <w:tcBorders>
              <w:top w:val="single" w:color="000000" w:sz="4" w:space="0"/>
              <w:left w:val="single" w:color="auto" w:sz="4" w:space="0"/>
              <w:bottom w:val="nil"/>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464"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其他资金</w:t>
            </w:r>
          </w:p>
        </w:tc>
        <w:tc>
          <w:tcPr>
            <w:tcW w:w="1050"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787"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总体目标</w:t>
            </w:r>
          </w:p>
        </w:tc>
        <w:tc>
          <w:tcPr>
            <w:tcW w:w="4276" w:type="dxa"/>
            <w:gridSpan w:val="3"/>
            <w:vMerge w:val="restart"/>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实施期总目标</w:t>
            </w:r>
          </w:p>
        </w:tc>
        <w:tc>
          <w:tcPr>
            <w:tcW w:w="3963" w:type="dxa"/>
            <w:gridSpan w:val="4"/>
            <w:vMerge w:val="restart"/>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年度总目标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4276" w:type="dxa"/>
            <w:gridSpan w:val="3"/>
            <w:vMerge w:val="continue"/>
            <w:tcBorders>
              <w:top w:val="single" w:color="000000" w:sz="4" w:space="0"/>
              <w:left w:val="single" w:color="000000"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3963" w:type="dxa"/>
            <w:gridSpan w:val="4"/>
            <w:vMerge w:val="continue"/>
            <w:tcBorders>
              <w:top w:val="single" w:color="000000" w:sz="4" w:space="0"/>
              <w:left w:val="single" w:color="auto"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4276" w:type="dxa"/>
            <w:gridSpan w:val="3"/>
            <w:vMerge w:val="restart"/>
            <w:tcBorders>
              <w:top w:val="single" w:color="auto" w:sz="4" w:space="0"/>
              <w:left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激发全民运动激情，提高民众体育运动的全民参与度</w:t>
            </w:r>
          </w:p>
        </w:tc>
        <w:tc>
          <w:tcPr>
            <w:tcW w:w="3963" w:type="dxa"/>
            <w:gridSpan w:val="4"/>
            <w:vMerge w:val="restart"/>
            <w:tcBorders>
              <w:top w:val="single" w:color="auto" w:sz="4" w:space="0"/>
              <w:left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推广和提高全民体育运动，保障人民身体健康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4276" w:type="dxa"/>
            <w:gridSpan w:val="3"/>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3963" w:type="dxa"/>
            <w:gridSpan w:val="4"/>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9" w:hRule="atLeast"/>
        </w:trPr>
        <w:tc>
          <w:tcPr>
            <w:tcW w:w="7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年度绩效指标</w:t>
            </w:r>
          </w:p>
        </w:tc>
        <w:tc>
          <w:tcPr>
            <w:tcW w:w="750"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一级指标</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二级指标</w:t>
            </w:r>
          </w:p>
        </w:tc>
        <w:tc>
          <w:tcPr>
            <w:tcW w:w="36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指标内容</w:t>
            </w:r>
          </w:p>
        </w:tc>
        <w:tc>
          <w:tcPr>
            <w:tcW w:w="17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指标值</w:t>
            </w:r>
          </w:p>
        </w:tc>
        <w:tc>
          <w:tcPr>
            <w:tcW w:w="788"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7" w:hRule="atLeast"/>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产出指标</w:t>
            </w:r>
          </w:p>
        </w:tc>
        <w:tc>
          <w:tcPr>
            <w:tcW w:w="1338"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数量指标</w:t>
            </w:r>
          </w:p>
        </w:tc>
        <w:tc>
          <w:tcPr>
            <w:tcW w:w="36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购置老旧小区全民健身器材件数量</w:t>
            </w:r>
          </w:p>
        </w:tc>
        <w:tc>
          <w:tcPr>
            <w:tcW w:w="17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42件</w:t>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9" w:hRule="atLeast"/>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50"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338"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36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全民健身基础设施援建设备数量</w:t>
            </w:r>
          </w:p>
        </w:tc>
        <w:tc>
          <w:tcPr>
            <w:tcW w:w="17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100件</w:t>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9" w:hRule="atLeast"/>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50"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338"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36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全民健身示范社区援建数量</w:t>
            </w:r>
          </w:p>
        </w:tc>
        <w:tc>
          <w:tcPr>
            <w:tcW w:w="17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1个</w:t>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9" w:hRule="atLeast"/>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338"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质量指标</w:t>
            </w:r>
          </w:p>
        </w:tc>
        <w:tc>
          <w:tcPr>
            <w:tcW w:w="36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活动参与率</w:t>
            </w:r>
          </w:p>
        </w:tc>
        <w:tc>
          <w:tcPr>
            <w:tcW w:w="17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100%</w:t>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9" w:hRule="atLeast"/>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338"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36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合同执行率</w:t>
            </w:r>
          </w:p>
        </w:tc>
        <w:tc>
          <w:tcPr>
            <w:tcW w:w="17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100%</w:t>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时效指标</w:t>
            </w:r>
          </w:p>
        </w:tc>
        <w:tc>
          <w:tcPr>
            <w:tcW w:w="36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活动开展时限</w:t>
            </w:r>
          </w:p>
        </w:tc>
        <w:tc>
          <w:tcPr>
            <w:tcW w:w="17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2024年1-12月</w:t>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9" w:hRule="atLeast"/>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338"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成本指标</w:t>
            </w:r>
          </w:p>
        </w:tc>
        <w:tc>
          <w:tcPr>
            <w:tcW w:w="36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老旧小区及全民健身基础设施援建经费</w:t>
            </w:r>
          </w:p>
        </w:tc>
        <w:tc>
          <w:tcPr>
            <w:tcW w:w="17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207.4万元</w:t>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1" w:hRule="atLeast"/>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338"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36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开展相关活动及补贴费用</w:t>
            </w:r>
          </w:p>
        </w:tc>
        <w:tc>
          <w:tcPr>
            <w:tcW w:w="17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54.2万元</w:t>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2" w:hRule="atLeast"/>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效益指标</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经济效益 指标</w:t>
            </w:r>
          </w:p>
        </w:tc>
        <w:tc>
          <w:tcPr>
            <w:tcW w:w="36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17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8" w:hRule="atLeast"/>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社会效益 指标</w:t>
            </w:r>
          </w:p>
        </w:tc>
        <w:tc>
          <w:tcPr>
            <w:tcW w:w="36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为社区群众提供健身锻炼，以满足群众锻炼需求</w:t>
            </w:r>
          </w:p>
        </w:tc>
        <w:tc>
          <w:tcPr>
            <w:tcW w:w="17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不断满足</w:t>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0" w:hRule="atLeast"/>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生态效益 指标</w:t>
            </w:r>
          </w:p>
        </w:tc>
        <w:tc>
          <w:tcPr>
            <w:tcW w:w="36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17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5" w:hRule="atLeast"/>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可持续影响指标</w:t>
            </w:r>
          </w:p>
        </w:tc>
        <w:tc>
          <w:tcPr>
            <w:tcW w:w="36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发挥文体引领作用</w:t>
            </w:r>
          </w:p>
        </w:tc>
        <w:tc>
          <w:tcPr>
            <w:tcW w:w="17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≥1年</w:t>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6" w:hRule="atLeast"/>
        </w:trPr>
        <w:tc>
          <w:tcPr>
            <w:tcW w:w="7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50"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满意度指标</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服务对象满意度指标</w:t>
            </w:r>
          </w:p>
        </w:tc>
        <w:tc>
          <w:tcPr>
            <w:tcW w:w="36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服务及使用对象满意度</w:t>
            </w:r>
          </w:p>
        </w:tc>
        <w:tc>
          <w:tcPr>
            <w:tcW w:w="17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≥92%</w:t>
            </w:r>
          </w:p>
        </w:tc>
        <w:tc>
          <w:tcPr>
            <w:tcW w:w="7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bl>
    <w:p>
      <w:pPr>
        <w:numPr>
          <w:ilvl w:val="0"/>
          <w:numId w:val="0"/>
        </w:numPr>
        <w:rPr>
          <w:rFonts w:hint="eastAsia" w:ascii="华文楷体" w:hAnsi="华文楷体" w:eastAsia="华文楷体" w:cs="华文楷体"/>
          <w:color w:val="000000"/>
          <w:kern w:val="0"/>
          <w:sz w:val="30"/>
          <w:szCs w:val="30"/>
          <w:u w:val="none"/>
          <w:lang w:val="en-US" w:eastAsia="zh-CN" w:bidi="ar"/>
        </w:rPr>
      </w:pPr>
      <w:r>
        <w:rPr>
          <w:rFonts w:hint="eastAsia" w:ascii="华文楷体" w:hAnsi="华文楷体" w:eastAsia="华文楷体" w:cs="华文楷体"/>
          <w:color w:val="000000"/>
          <w:kern w:val="0"/>
          <w:sz w:val="30"/>
          <w:szCs w:val="30"/>
          <w:u w:val="none"/>
          <w:lang w:val="en-US" w:eastAsia="zh-CN" w:bidi="ar"/>
        </w:rPr>
        <w:t>11-</w:t>
      </w:r>
      <w:r>
        <w:rPr>
          <w:rFonts w:hint="eastAsia" w:ascii="华文楷体" w:hAnsi="华文楷体" w:eastAsia="华文楷体" w:cs="华文楷体"/>
          <w:color w:val="000000"/>
          <w:kern w:val="0"/>
          <w:sz w:val="30"/>
          <w:szCs w:val="30"/>
          <w:u w:val="single"/>
          <w:lang w:val="en-US" w:eastAsia="zh-CN" w:bidi="ar"/>
        </w:rPr>
        <w:t>文化产业发展</w:t>
      </w:r>
      <w:r>
        <w:rPr>
          <w:rFonts w:hint="eastAsia" w:ascii="华文楷体" w:hAnsi="华文楷体" w:eastAsia="华文楷体" w:cs="华文楷体"/>
          <w:color w:val="000000"/>
          <w:kern w:val="0"/>
          <w:sz w:val="30"/>
          <w:szCs w:val="30"/>
          <w:u w:val="none"/>
          <w:lang w:val="en-US" w:eastAsia="zh-CN" w:bidi="ar"/>
        </w:rPr>
        <w:t>领域</w:t>
      </w:r>
    </w:p>
    <w:tbl>
      <w:tblPr>
        <w:tblStyle w:val="5"/>
        <w:tblpPr w:leftFromText="180" w:rightFromText="180" w:vertAnchor="text" w:horzAnchor="page" w:tblpX="1857" w:tblpY="748"/>
        <w:tblOverlap w:val="never"/>
        <w:tblW w:w="88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72"/>
        <w:gridCol w:w="745"/>
        <w:gridCol w:w="1283"/>
        <w:gridCol w:w="2053"/>
        <w:gridCol w:w="1209"/>
        <w:gridCol w:w="1690"/>
        <w:gridCol w:w="110"/>
        <w:gridCol w:w="9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3" w:hRule="atLeast"/>
        </w:trPr>
        <w:tc>
          <w:tcPr>
            <w:tcW w:w="8800" w:type="dxa"/>
            <w:gridSpan w:val="8"/>
            <w:tcBorders>
              <w:top w:val="nil"/>
              <w:left w:val="nil"/>
              <w:bottom w:val="nil"/>
              <w:right w:val="nil"/>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ascii="黑体" w:hAnsi="宋体" w:eastAsia="黑体" w:cs="黑体"/>
                <w:i w:val="0"/>
                <w:iCs w:val="0"/>
                <w:color w:val="000000"/>
                <w:sz w:val="44"/>
                <w:szCs w:val="44"/>
                <w:u w:val="none"/>
              </w:rPr>
            </w:pPr>
            <w:r>
              <w:rPr>
                <w:rFonts w:hint="eastAsia" w:ascii="黑体" w:hAnsi="宋体" w:eastAsia="黑体" w:cs="黑体"/>
                <w:i w:val="0"/>
                <w:iCs w:val="0"/>
                <w:color w:val="000000"/>
                <w:kern w:val="0"/>
                <w:sz w:val="44"/>
                <w:szCs w:val="44"/>
                <w:u w:val="none"/>
                <w:lang w:val="en-US" w:eastAsia="zh-CN" w:bidi="ar"/>
              </w:rPr>
              <w:t>2024年部门预算专项业务经费绩效目标表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6" w:hRule="atLeast"/>
        </w:trPr>
        <w:tc>
          <w:tcPr>
            <w:tcW w:w="8800" w:type="dxa"/>
            <w:gridSpan w:val="8"/>
            <w:tcBorders>
              <w:top w:val="nil"/>
              <w:left w:val="nil"/>
              <w:bottom w:val="nil"/>
              <w:right w:val="nil"/>
            </w:tcBorders>
            <w:shd w:val="clear" w:color="auto" w:fill="auto"/>
            <w:vAlign w:val="center"/>
          </w:tcPr>
          <w:p>
            <w:pPr>
              <w:keepNext w:val="0"/>
              <w:keepLines w:val="0"/>
              <w:pageBreakBefore w:val="0"/>
              <w:kinsoku/>
              <w:wordWrap/>
              <w:overflowPunct/>
              <w:topLinePunct w:val="0"/>
              <w:autoSpaceDE/>
              <w:autoSpaceDN/>
              <w:bidi w:val="0"/>
              <w:adjustRightInd/>
              <w:snapToGrid/>
              <w:spacing w:line="434" w:lineRule="exact"/>
              <w:jc w:val="center"/>
              <w:rPr>
                <w:rFonts w:hint="eastAsia" w:ascii="仿宋" w:hAnsi="仿宋" w:eastAsia="仿宋" w:cs="仿宋"/>
                <w:i w:val="0"/>
                <w:iCs w:val="0"/>
                <w:color w:val="000000"/>
                <w:sz w:val="26"/>
                <w:szCs w:val="2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280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项目名称</w:t>
            </w:r>
          </w:p>
        </w:tc>
        <w:tc>
          <w:tcPr>
            <w:tcW w:w="600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西安市碑林区铁五第二小学南教学区改造装修项目</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（市财函</w:t>
            </w:r>
            <w:r>
              <w:rPr>
                <w:rFonts w:hint="eastAsia" w:ascii="华文中宋" w:hAnsi="华文中宋" w:eastAsia="华文中宋" w:cs="华文中宋"/>
                <w:color w:val="000000"/>
                <w:kern w:val="0"/>
                <w:sz w:val="24"/>
                <w:szCs w:val="24"/>
                <w:lang w:val="en-US" w:eastAsia="zh-CN" w:bidi="ar"/>
              </w:rPr>
              <w:t>〔</w:t>
            </w:r>
            <w:r>
              <w:rPr>
                <w:rFonts w:hint="eastAsia" w:ascii="仿宋_GB2312" w:hAnsi="仿宋_GB2312" w:eastAsia="仿宋_GB2312" w:cs="仿宋_GB2312"/>
                <w:color w:val="000000"/>
                <w:kern w:val="0"/>
                <w:sz w:val="24"/>
                <w:szCs w:val="24"/>
                <w:lang w:val="en-US" w:eastAsia="zh-CN" w:bidi="ar"/>
              </w:rPr>
              <w:t>2023</w:t>
            </w:r>
            <w:r>
              <w:rPr>
                <w:rFonts w:hint="eastAsia" w:ascii="华文中宋" w:hAnsi="华文中宋" w:eastAsia="华文中宋" w:cs="华文中宋"/>
                <w:color w:val="000000"/>
                <w:kern w:val="0"/>
                <w:sz w:val="24"/>
                <w:szCs w:val="24"/>
                <w:lang w:val="en-US" w:eastAsia="zh-CN" w:bidi="ar"/>
              </w:rPr>
              <w:t>〕</w:t>
            </w:r>
            <w:r>
              <w:rPr>
                <w:rFonts w:hint="eastAsia" w:ascii="仿宋_GB2312" w:hAnsi="仿宋_GB2312" w:eastAsia="仿宋_GB2312" w:cs="仿宋_GB2312"/>
                <w:color w:val="000000"/>
                <w:kern w:val="0"/>
                <w:sz w:val="24"/>
                <w:szCs w:val="24"/>
                <w:lang w:val="en-US" w:eastAsia="zh-CN" w:bidi="ar"/>
              </w:rPr>
              <w:t>2147号）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6" w:hRule="atLeast"/>
        </w:trPr>
        <w:tc>
          <w:tcPr>
            <w:tcW w:w="280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主管部门</w:t>
            </w:r>
          </w:p>
        </w:tc>
        <w:tc>
          <w:tcPr>
            <w:tcW w:w="3262"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西安市碑林区教育局</w:t>
            </w:r>
          </w:p>
        </w:tc>
        <w:tc>
          <w:tcPr>
            <w:tcW w:w="1690"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实施期限</w:t>
            </w:r>
          </w:p>
        </w:tc>
        <w:tc>
          <w:tcPr>
            <w:tcW w:w="1048"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2800"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资金金额</w:t>
            </w:r>
          </w:p>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(万元)</w:t>
            </w:r>
          </w:p>
        </w:tc>
        <w:tc>
          <w:tcPr>
            <w:tcW w:w="205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实施期资金总额：</w:t>
            </w:r>
          </w:p>
        </w:tc>
        <w:tc>
          <w:tcPr>
            <w:tcW w:w="1209"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226.00</w:t>
            </w:r>
          </w:p>
        </w:tc>
        <w:tc>
          <w:tcPr>
            <w:tcW w:w="1690"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年度资金总额：</w:t>
            </w:r>
          </w:p>
        </w:tc>
        <w:tc>
          <w:tcPr>
            <w:tcW w:w="1048"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226.00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1" w:hRule="atLeast"/>
        </w:trPr>
        <w:tc>
          <w:tcPr>
            <w:tcW w:w="280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2053"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其中：财政拨款</w:t>
            </w:r>
          </w:p>
        </w:tc>
        <w:tc>
          <w:tcPr>
            <w:tcW w:w="1209"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226.00</w:t>
            </w:r>
          </w:p>
        </w:tc>
        <w:tc>
          <w:tcPr>
            <w:tcW w:w="1690"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其中：财政拨款</w:t>
            </w:r>
          </w:p>
        </w:tc>
        <w:tc>
          <w:tcPr>
            <w:tcW w:w="1048"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226.00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2" w:hRule="atLeast"/>
        </w:trPr>
        <w:tc>
          <w:tcPr>
            <w:tcW w:w="280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2053" w:type="dxa"/>
            <w:tcBorders>
              <w:top w:val="single" w:color="000000" w:sz="4" w:space="0"/>
              <w:left w:val="single" w:color="000000" w:sz="4" w:space="0"/>
              <w:bottom w:val="nil"/>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其他资金</w:t>
            </w:r>
          </w:p>
        </w:tc>
        <w:tc>
          <w:tcPr>
            <w:tcW w:w="1209" w:type="dxa"/>
            <w:tcBorders>
              <w:top w:val="single" w:color="000000" w:sz="4" w:space="0"/>
              <w:left w:val="single" w:color="auto" w:sz="4" w:space="0"/>
              <w:bottom w:val="nil"/>
              <w:right w:val="single" w:color="auto"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690" w:type="dxa"/>
            <w:tcBorders>
              <w:top w:val="single" w:color="000000" w:sz="4" w:space="0"/>
              <w:left w:val="single" w:color="auto"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其他资金</w:t>
            </w:r>
          </w:p>
        </w:tc>
        <w:tc>
          <w:tcPr>
            <w:tcW w:w="1048" w:type="dxa"/>
            <w:gridSpan w:val="2"/>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trPr>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总体目标</w:t>
            </w:r>
          </w:p>
        </w:tc>
        <w:tc>
          <w:tcPr>
            <w:tcW w:w="4081" w:type="dxa"/>
            <w:gridSpan w:val="3"/>
            <w:vMerge w:val="restart"/>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实施期总目标</w:t>
            </w:r>
          </w:p>
        </w:tc>
        <w:tc>
          <w:tcPr>
            <w:tcW w:w="3947" w:type="dxa"/>
            <w:gridSpan w:val="4"/>
            <w:vMerge w:val="restart"/>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年度总目标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7"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4081" w:type="dxa"/>
            <w:gridSpan w:val="3"/>
            <w:vMerge w:val="continue"/>
            <w:tcBorders>
              <w:top w:val="single" w:color="000000" w:sz="4" w:space="0"/>
              <w:left w:val="single" w:color="000000" w:sz="4" w:space="0"/>
              <w:bottom w:val="single" w:color="auto"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3947" w:type="dxa"/>
            <w:gridSpan w:val="4"/>
            <w:vMerge w:val="continue"/>
            <w:tcBorders>
              <w:top w:val="single" w:color="000000" w:sz="4" w:space="0"/>
              <w:left w:val="single" w:color="auto" w:sz="4" w:space="0"/>
              <w:bottom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7"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4081" w:type="dxa"/>
            <w:gridSpan w:val="3"/>
            <w:vMerge w:val="restart"/>
            <w:tcBorders>
              <w:top w:val="single" w:color="auto" w:sz="4" w:space="0"/>
              <w:left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改善学校办学条件，支持学校建设发展。</w:t>
            </w:r>
          </w:p>
        </w:tc>
        <w:tc>
          <w:tcPr>
            <w:tcW w:w="3947" w:type="dxa"/>
            <w:gridSpan w:val="4"/>
            <w:vMerge w:val="restart"/>
            <w:tcBorders>
              <w:top w:val="single" w:color="auto" w:sz="4" w:space="0"/>
              <w:left w:val="single" w:color="auto"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进一步支持教育发展，全面改善教育环境。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7"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4081" w:type="dxa"/>
            <w:gridSpan w:val="3"/>
            <w:vMerge w:val="continue"/>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3947" w:type="dxa"/>
            <w:gridSpan w:val="4"/>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7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年度绩效指标</w:t>
            </w:r>
          </w:p>
        </w:tc>
        <w:tc>
          <w:tcPr>
            <w:tcW w:w="745" w:type="dxa"/>
            <w:tcBorders>
              <w:top w:val="single" w:color="000000" w:sz="4" w:space="0"/>
              <w:left w:val="nil"/>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一级指标</w:t>
            </w:r>
          </w:p>
        </w:tc>
        <w:tc>
          <w:tcPr>
            <w:tcW w:w="1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二级指标</w:t>
            </w:r>
          </w:p>
        </w:tc>
        <w:tc>
          <w:tcPr>
            <w:tcW w:w="32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指标内容</w:t>
            </w:r>
          </w:p>
        </w:tc>
        <w:tc>
          <w:tcPr>
            <w:tcW w:w="18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指标值</w:t>
            </w:r>
          </w:p>
        </w:tc>
        <w:tc>
          <w:tcPr>
            <w:tcW w:w="938"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6"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产出指标</w:t>
            </w:r>
          </w:p>
        </w:tc>
        <w:tc>
          <w:tcPr>
            <w:tcW w:w="1283" w:type="dxa"/>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数量指标</w:t>
            </w:r>
          </w:p>
        </w:tc>
        <w:tc>
          <w:tcPr>
            <w:tcW w:w="32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装修工程数量</w:t>
            </w:r>
          </w:p>
        </w:tc>
        <w:tc>
          <w:tcPr>
            <w:tcW w:w="18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3个</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9"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83"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质量指标</w:t>
            </w:r>
          </w:p>
        </w:tc>
        <w:tc>
          <w:tcPr>
            <w:tcW w:w="32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工程验收合格率</w:t>
            </w:r>
          </w:p>
        </w:tc>
        <w:tc>
          <w:tcPr>
            <w:tcW w:w="18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100%</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9"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83"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32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合同执行率</w:t>
            </w:r>
          </w:p>
        </w:tc>
        <w:tc>
          <w:tcPr>
            <w:tcW w:w="18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100%</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5"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83"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时效指标</w:t>
            </w:r>
          </w:p>
        </w:tc>
        <w:tc>
          <w:tcPr>
            <w:tcW w:w="32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资金拨付时间</w:t>
            </w:r>
          </w:p>
        </w:tc>
        <w:tc>
          <w:tcPr>
            <w:tcW w:w="18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2024年1-12月</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83"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32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项目实施时间</w:t>
            </w:r>
          </w:p>
        </w:tc>
        <w:tc>
          <w:tcPr>
            <w:tcW w:w="18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2024年7-9月</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83"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成本指标</w:t>
            </w:r>
          </w:p>
        </w:tc>
        <w:tc>
          <w:tcPr>
            <w:tcW w:w="32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南教学楼土建加固改造经费</w:t>
            </w:r>
          </w:p>
        </w:tc>
        <w:tc>
          <w:tcPr>
            <w:tcW w:w="18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154.8万元</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2"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83"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32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南教学楼装修工程</w:t>
            </w:r>
          </w:p>
        </w:tc>
        <w:tc>
          <w:tcPr>
            <w:tcW w:w="18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71.2万元</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8"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效益指标</w:t>
            </w:r>
          </w:p>
        </w:tc>
        <w:tc>
          <w:tcPr>
            <w:tcW w:w="1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经济效益 指标</w:t>
            </w:r>
          </w:p>
        </w:tc>
        <w:tc>
          <w:tcPr>
            <w:tcW w:w="32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18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2"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83"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社会效益 指标</w:t>
            </w:r>
          </w:p>
        </w:tc>
        <w:tc>
          <w:tcPr>
            <w:tcW w:w="32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改善学校校园环境</w:t>
            </w:r>
          </w:p>
        </w:tc>
        <w:tc>
          <w:tcPr>
            <w:tcW w:w="18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明显改善</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7"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83"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32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提升</w:t>
            </w:r>
            <w:r>
              <w:rPr>
                <w:rFonts w:hint="default" w:ascii="仿宋_GB2312" w:hAnsi="仿宋_GB2312" w:eastAsia="仿宋_GB2312" w:cs="仿宋_GB2312"/>
                <w:color w:val="000000"/>
                <w:kern w:val="0"/>
                <w:sz w:val="24"/>
                <w:szCs w:val="24"/>
                <w:lang w:val="en-US" w:eastAsia="zh-CN" w:bidi="ar"/>
              </w:rPr>
              <w:t>学校办学条件</w:t>
            </w:r>
          </w:p>
        </w:tc>
        <w:tc>
          <w:tcPr>
            <w:tcW w:w="18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显著提升</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生态效益 指标</w:t>
            </w:r>
          </w:p>
        </w:tc>
        <w:tc>
          <w:tcPr>
            <w:tcW w:w="32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18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8"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83"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可持续影响指标</w:t>
            </w:r>
          </w:p>
        </w:tc>
        <w:tc>
          <w:tcPr>
            <w:tcW w:w="32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提升教育水平，发挥影响作用</w:t>
            </w:r>
          </w:p>
        </w:tc>
        <w:tc>
          <w:tcPr>
            <w:tcW w:w="18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≥1年</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3"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1283"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32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发挥公办学校普惠作用，办人民满意学校</w:t>
            </w:r>
          </w:p>
        </w:tc>
        <w:tc>
          <w:tcPr>
            <w:tcW w:w="18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≥1年</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1" w:hRule="atLeast"/>
        </w:trPr>
        <w:tc>
          <w:tcPr>
            <w:tcW w:w="7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c>
          <w:tcPr>
            <w:tcW w:w="745"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满意度指标</w:t>
            </w:r>
          </w:p>
        </w:tc>
        <w:tc>
          <w:tcPr>
            <w:tcW w:w="12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服务对象满意度指标</w:t>
            </w:r>
          </w:p>
        </w:tc>
        <w:tc>
          <w:tcPr>
            <w:tcW w:w="32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学校师生满意度</w:t>
            </w:r>
          </w:p>
        </w:tc>
        <w:tc>
          <w:tcPr>
            <w:tcW w:w="18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r>
              <w:rPr>
                <w:rFonts w:hint="eastAsia" w:ascii="仿宋_GB2312" w:hAnsi="仿宋_GB2312" w:eastAsia="仿宋_GB2312" w:cs="仿宋_GB2312"/>
                <w:color w:val="000000"/>
                <w:kern w:val="0"/>
                <w:sz w:val="24"/>
                <w:szCs w:val="24"/>
                <w:lang w:val="en-US" w:eastAsia="zh-CN" w:bidi="ar"/>
              </w:rPr>
              <w:t>≥95%</w:t>
            </w:r>
          </w:p>
        </w:tc>
        <w:tc>
          <w:tcPr>
            <w:tcW w:w="9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434" w:lineRule="exact"/>
              <w:jc w:val="center"/>
              <w:textAlignment w:val="center"/>
              <w:rPr>
                <w:rFonts w:hint="eastAsia" w:ascii="仿宋_GB2312" w:hAnsi="仿宋_GB2312" w:eastAsia="仿宋_GB2312" w:cs="仿宋_GB2312"/>
                <w:color w:val="000000"/>
                <w:kern w:val="0"/>
                <w:sz w:val="24"/>
                <w:szCs w:val="24"/>
                <w:lang w:val="en-US" w:eastAsia="zh-CN" w:bidi="ar"/>
              </w:rPr>
            </w:pPr>
          </w:p>
        </w:tc>
      </w:tr>
    </w:tbl>
    <w:p>
      <w:pPr>
        <w:rPr>
          <w:rFonts w:hint="eastAsia" w:ascii="华文楷体" w:hAnsi="华文楷体" w:eastAsia="华文楷体" w:cs="华文楷体"/>
          <w:color w:val="000000"/>
          <w:kern w:val="0"/>
          <w:sz w:val="30"/>
          <w:szCs w:val="30"/>
          <w:u w:val="none"/>
          <w:lang w:val="en-US" w:eastAsia="zh-CN" w:bidi="ar"/>
        </w:rPr>
      </w:pPr>
      <w:r>
        <w:rPr>
          <w:rFonts w:hint="eastAsia" w:ascii="华文楷体" w:hAnsi="华文楷体" w:eastAsia="华文楷体" w:cs="华文楷体"/>
          <w:color w:val="000000"/>
          <w:kern w:val="0"/>
          <w:sz w:val="30"/>
          <w:szCs w:val="30"/>
          <w:u w:val="none"/>
          <w:lang w:val="en-US" w:eastAsia="zh-CN" w:bidi="ar"/>
        </w:rPr>
        <w:t>12-</w:t>
      </w:r>
      <w:r>
        <w:rPr>
          <w:rFonts w:hint="eastAsia" w:ascii="华文楷体" w:hAnsi="华文楷体" w:eastAsia="华文楷体" w:cs="华文楷体"/>
          <w:color w:val="000000"/>
          <w:kern w:val="0"/>
          <w:sz w:val="30"/>
          <w:szCs w:val="30"/>
          <w:u w:val="single"/>
          <w:lang w:val="en-US" w:eastAsia="zh-CN" w:bidi="ar"/>
        </w:rPr>
        <w:t>教育建设发展</w:t>
      </w:r>
      <w:r>
        <w:rPr>
          <w:rFonts w:hint="eastAsia" w:ascii="华文楷体" w:hAnsi="华文楷体" w:eastAsia="华文楷体" w:cs="华文楷体"/>
          <w:color w:val="000000"/>
          <w:kern w:val="0"/>
          <w:sz w:val="30"/>
          <w:szCs w:val="30"/>
          <w:u w:val="none"/>
          <w:lang w:val="en-US" w:eastAsia="zh-CN" w:bidi="ar"/>
        </w:rPr>
        <w:t>领域</w:t>
      </w:r>
    </w:p>
    <w:sectPr>
      <w:footerReference r:id="rId5" w:type="default"/>
      <w:pgSz w:w="11906" w:h="16838"/>
      <w:pgMar w:top="1587" w:right="1701" w:bottom="1474" w:left="1701" w:header="851" w:footer="1247"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华文楷体">
    <w:panose1 w:val="02010600040101010101"/>
    <w:charset w:val="86"/>
    <w:family w:val="auto"/>
    <w:pitch w:val="default"/>
    <w:sig w:usb0="00000287" w:usb1="080F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w:t>
                    </w: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64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RkMGZkMzg3YjIwOWU4NTMwZDAzZWJlNTNjNTg5NmYifQ=="/>
  </w:docVars>
  <w:rsids>
    <w:rsidRoot w:val="0C083188"/>
    <w:rsid w:val="02A604E3"/>
    <w:rsid w:val="041A5A75"/>
    <w:rsid w:val="07CF4DE0"/>
    <w:rsid w:val="0C083188"/>
    <w:rsid w:val="1FB50D59"/>
    <w:rsid w:val="215B5BF8"/>
    <w:rsid w:val="222D7E81"/>
    <w:rsid w:val="2DA84860"/>
    <w:rsid w:val="2FDC4866"/>
    <w:rsid w:val="34DF2F0D"/>
    <w:rsid w:val="38C225E4"/>
    <w:rsid w:val="39750749"/>
    <w:rsid w:val="3B3B31B7"/>
    <w:rsid w:val="3DF9C8BF"/>
    <w:rsid w:val="48D70E2F"/>
    <w:rsid w:val="48D72C23"/>
    <w:rsid w:val="4C3C751A"/>
    <w:rsid w:val="4CB04DC3"/>
    <w:rsid w:val="53AC1861"/>
    <w:rsid w:val="54C811C0"/>
    <w:rsid w:val="5F905B12"/>
    <w:rsid w:val="67F536B1"/>
    <w:rsid w:val="692A0243"/>
    <w:rsid w:val="6B217424"/>
    <w:rsid w:val="6C7D5DC3"/>
    <w:rsid w:val="73F7B173"/>
    <w:rsid w:val="73FF83EC"/>
    <w:rsid w:val="79FFEE82"/>
    <w:rsid w:val="7A9B373F"/>
    <w:rsid w:val="7AA240DD"/>
    <w:rsid w:val="7AFF7788"/>
    <w:rsid w:val="7BC02341"/>
    <w:rsid w:val="7BEE0451"/>
    <w:rsid w:val="7C3C4CD2"/>
    <w:rsid w:val="7FFB6CF6"/>
    <w:rsid w:val="9435D5E4"/>
    <w:rsid w:val="B3AF1E71"/>
    <w:rsid w:val="BDDFE786"/>
    <w:rsid w:val="BDEA89D0"/>
    <w:rsid w:val="DB3FA70C"/>
    <w:rsid w:val="DBAF825A"/>
    <w:rsid w:val="DFFF48E8"/>
    <w:rsid w:val="EF678224"/>
    <w:rsid w:val="EFAF7FCC"/>
    <w:rsid w:val="F4FF5142"/>
    <w:rsid w:val="FF4777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4</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2024-01-04T15:13:00Z</dcterms:created>
  <dc:creator>不哭的易拉罐</dc:creator>
  <cp:lastModifiedBy>Hope so。</cp:lastModifiedBy>
  <cp:lastPrinted>2024-03-15T02:17:00Z</cp:lastPrinted>
  <dcterms:modified xsi:type="dcterms:W3CDTF">2024-03-14T06:20:43Z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152D23BEE1AD4B05A436CF25D993B0D9_13</vt:lpwstr>
  </property>
</Properties>
</file>