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auto"/>
          <w:sz w:val="32"/>
          <w:szCs w:val="32"/>
        </w:rPr>
      </w:pPr>
      <w:r>
        <w:rPr>
          <w:rFonts w:hint="eastAsia" w:ascii="黑体" w:hAnsi="黑体" w:eastAsia="黑体" w:cs="黑体"/>
          <w:color w:val="auto"/>
          <w:sz w:val="32"/>
          <w:szCs w:val="32"/>
        </w:rPr>
        <w:t>附件4</w:t>
      </w:r>
    </w:p>
    <w:p>
      <w:pPr>
        <w:spacing w:line="560" w:lineRule="exact"/>
        <w:jc w:val="center"/>
        <w:rPr>
          <w:rFonts w:hint="eastAsia" w:ascii="方正小标宋简体" w:eastAsia="方正小标宋简体" w:cs="方正小标宋简体"/>
          <w:b/>
          <w:bCs/>
          <w:color w:val="auto"/>
          <w:spacing w:val="-12"/>
          <w:sz w:val="44"/>
          <w:szCs w:val="44"/>
        </w:rPr>
      </w:pPr>
      <w:r>
        <w:rPr>
          <w:rFonts w:hint="eastAsia" w:ascii="方正小标宋简体" w:eastAsia="方正小标宋简体" w:cs="方正小标宋简体"/>
          <w:b/>
          <w:bCs/>
          <w:color w:val="auto"/>
          <w:spacing w:val="-12"/>
          <w:sz w:val="44"/>
          <w:szCs w:val="44"/>
        </w:rPr>
        <w:t>关于部分检验项目的说明</w:t>
      </w:r>
    </w:p>
    <w:p>
      <w:pPr>
        <w:numPr>
          <w:ilvl w:val="0"/>
          <w:numId w:val="1"/>
        </w:numPr>
        <w:tabs>
          <w:tab w:val="left" w:pos="516"/>
        </w:tabs>
        <w:spacing w:line="560" w:lineRule="exact"/>
        <w:ind w:right="60" w:rightChars="0" w:firstLine="640" w:firstLineChars="200"/>
        <w:jc w:val="both"/>
        <w:rPr>
          <w:rFonts w:hint="eastAsia" w:eastAsia="黑体" w:cs="黑体"/>
          <w:color w:val="auto"/>
          <w:sz w:val="32"/>
          <w:szCs w:val="32"/>
          <w:lang w:val="en-US" w:eastAsia="zh-CN"/>
        </w:rPr>
      </w:pPr>
      <w:r>
        <w:rPr>
          <w:rFonts w:hint="eastAsia" w:eastAsia="黑体" w:cs="黑体"/>
          <w:color w:val="auto"/>
          <w:sz w:val="32"/>
          <w:szCs w:val="32"/>
          <w:lang w:val="en-US" w:eastAsia="zh-CN"/>
        </w:rPr>
        <w:t>毒死蜱</w:t>
      </w:r>
    </w:p>
    <w:p>
      <w:pPr>
        <w:numPr>
          <w:ilvl w:val="0"/>
          <w:numId w:val="0"/>
        </w:numPr>
        <w:tabs>
          <w:tab w:val="left" w:pos="516"/>
        </w:tabs>
        <w:spacing w:line="560" w:lineRule="exact"/>
        <w:ind w:right="60" w:rightChars="0" w:firstLine="640" w:firstLineChars="200"/>
        <w:jc w:val="both"/>
        <w:rPr>
          <w:rFonts w:hint="eastAsia" w:ascii="仿宋_GB2312" w:hAnsi="黑体" w:eastAsia="仿宋_GB2312"/>
          <w:color w:val="auto"/>
          <w:sz w:val="32"/>
          <w:szCs w:val="32"/>
          <w:lang w:val="en-US" w:eastAsia="zh-CN"/>
        </w:rPr>
      </w:pPr>
      <w:r>
        <w:rPr>
          <w:rFonts w:hint="eastAsia" w:ascii="仿宋_GB2312" w:hAnsi="黑体" w:eastAsia="仿宋_GB2312"/>
          <w:color w:val="auto"/>
          <w:sz w:val="32"/>
          <w:szCs w:val="32"/>
          <w:lang w:val="en-US" w:eastAsia="zh-CN"/>
        </w:rPr>
        <w:t>又名氯蜱硫磷，目前是全世界使用最广泛的有机磷酸酯杀虫剂之一，具有触杀、胃毒和熏蒸等作用。芹菜中毒死蜱超标的原因，可能是菜农不了解使用农药的安全间隔期，违规滥用农药。长期食用毒死蜱超标的食品，可能引起头痛、头昏、无力、呕吐等症状，还可能导致癫痫样抽搐。</w:t>
      </w:r>
    </w:p>
    <w:p>
      <w:pPr>
        <w:numPr>
          <w:ilvl w:val="0"/>
          <w:numId w:val="0"/>
        </w:numPr>
        <w:tabs>
          <w:tab w:val="left" w:pos="516"/>
        </w:tabs>
        <w:spacing w:line="560" w:lineRule="exact"/>
        <w:ind w:right="60" w:rightChars="0" w:firstLine="640" w:firstLineChars="200"/>
        <w:jc w:val="both"/>
        <w:rPr>
          <w:rFonts w:hint="eastAsia" w:eastAsia="黑体" w:cs="黑体"/>
          <w:color w:val="auto"/>
          <w:sz w:val="32"/>
          <w:szCs w:val="32"/>
          <w:lang w:val="en-US" w:eastAsia="zh-CN"/>
        </w:rPr>
      </w:pPr>
      <w:r>
        <w:rPr>
          <w:rFonts w:hint="eastAsia" w:eastAsia="黑体" w:cs="黑体"/>
          <w:color w:val="auto"/>
          <w:sz w:val="32"/>
          <w:szCs w:val="32"/>
          <w:lang w:val="en-US" w:eastAsia="zh-CN"/>
        </w:rPr>
        <w:t>二、噻虫胺</w:t>
      </w:r>
    </w:p>
    <w:p>
      <w:pPr>
        <w:numPr>
          <w:ilvl w:val="0"/>
          <w:numId w:val="0"/>
        </w:numPr>
        <w:tabs>
          <w:tab w:val="left" w:pos="516"/>
        </w:tabs>
        <w:spacing w:line="560" w:lineRule="exact"/>
        <w:ind w:right="60" w:rightChars="0" w:firstLine="640" w:firstLineChars="200"/>
        <w:jc w:val="both"/>
        <w:rPr>
          <w:rFonts w:hint="eastAsia" w:ascii="仿宋_GB2312" w:hAnsi="黑体" w:eastAsia="仿宋_GB2312"/>
          <w:color w:val="auto"/>
          <w:sz w:val="32"/>
          <w:szCs w:val="32"/>
          <w:lang w:val="en-US" w:eastAsia="zh-CN"/>
        </w:rPr>
      </w:pPr>
      <w:r>
        <w:rPr>
          <w:rFonts w:hint="default" w:ascii="仿宋_GB2312" w:hAnsi="黑体" w:eastAsia="仿宋_GB2312"/>
          <w:color w:val="auto"/>
          <w:sz w:val="32"/>
          <w:szCs w:val="32"/>
          <w:lang w:val="en-US" w:eastAsia="zh-CN"/>
        </w:rPr>
        <w:t>噻虫胺</w:t>
      </w:r>
      <w:r>
        <w:rPr>
          <w:rFonts w:hint="default" w:ascii="仿宋_GB2312" w:hAnsi="黑体" w:eastAsia="仿宋_GB2312"/>
          <w:color w:val="auto"/>
          <w:sz w:val="32"/>
          <w:szCs w:val="32"/>
          <w:lang w:val="en-US" w:eastAsia="zh-CN"/>
        </w:rPr>
        <w:t>属新烟碱类杀虫剂，具有内吸性、触杀和胃毒作用，对姜蛆等有较好防效。少量的残留不会引起人体急性中毒，但长期食用噻虫胺超标的食品，对人体健康可能有一定影响。《食品安全国家标准 食品中农药最大残留限量》（GB 2763—</w:t>
      </w:r>
      <w:r>
        <w:rPr>
          <w:rFonts w:hint="default" w:ascii="仿宋_GB2312" w:hAnsi="黑体" w:eastAsia="仿宋_GB2312"/>
          <w:color w:val="auto"/>
          <w:sz w:val="32"/>
          <w:szCs w:val="32"/>
          <w:lang w:val="en-US" w:eastAsia="zh-CN"/>
        </w:rPr>
        <w:t>20</w:t>
      </w:r>
      <w:r>
        <w:rPr>
          <w:rFonts w:hint="eastAsia" w:ascii="仿宋_GB2312" w:hAnsi="黑体" w:eastAsia="仿宋_GB2312"/>
          <w:color w:val="auto"/>
          <w:sz w:val="32"/>
          <w:szCs w:val="32"/>
          <w:lang w:val="en-US" w:eastAsia="zh-CN"/>
        </w:rPr>
        <w:t>21</w:t>
      </w:r>
      <w:r>
        <w:rPr>
          <w:rFonts w:hint="default" w:ascii="仿宋_GB2312" w:hAnsi="黑体" w:eastAsia="仿宋_GB2312"/>
          <w:color w:val="auto"/>
          <w:sz w:val="32"/>
          <w:szCs w:val="32"/>
          <w:lang w:val="en-US" w:eastAsia="zh-CN"/>
        </w:rPr>
        <w:t>）中规定，</w:t>
      </w:r>
      <w:r>
        <w:rPr>
          <w:rFonts w:hint="default" w:ascii="仿宋_GB2312" w:hAnsi="黑体" w:eastAsia="仿宋_GB2312"/>
          <w:color w:val="auto"/>
          <w:sz w:val="32"/>
          <w:szCs w:val="32"/>
          <w:lang w:val="en-US" w:eastAsia="zh-CN"/>
        </w:rPr>
        <w:t>噻虫胺</w:t>
      </w:r>
      <w:r>
        <w:rPr>
          <w:rFonts w:hint="default" w:ascii="仿宋_GB2312" w:hAnsi="黑体" w:eastAsia="仿宋_GB2312"/>
          <w:color w:val="auto"/>
          <w:sz w:val="32"/>
          <w:szCs w:val="32"/>
          <w:lang w:val="en-US" w:eastAsia="zh-CN"/>
        </w:rPr>
        <w:t>在</w:t>
      </w:r>
      <w:r>
        <w:rPr>
          <w:rFonts w:hint="eastAsia" w:ascii="仿宋_GB2312" w:hAnsi="黑体" w:eastAsia="仿宋_GB2312"/>
          <w:color w:val="auto"/>
          <w:sz w:val="32"/>
          <w:szCs w:val="32"/>
          <w:lang w:val="en-US" w:eastAsia="zh-CN"/>
        </w:rPr>
        <w:t>芹菜</w:t>
      </w:r>
      <w:r>
        <w:rPr>
          <w:rFonts w:hint="default" w:ascii="仿宋_GB2312" w:hAnsi="黑体" w:eastAsia="仿宋_GB2312"/>
          <w:color w:val="auto"/>
          <w:sz w:val="32"/>
          <w:szCs w:val="32"/>
          <w:lang w:val="en-US" w:eastAsia="zh-CN"/>
        </w:rPr>
        <w:t>中的最大残留限量值为</w:t>
      </w:r>
      <w:r>
        <w:rPr>
          <w:rFonts w:hint="default" w:ascii="仿宋_GB2312" w:hAnsi="黑体" w:eastAsia="仿宋_GB2312"/>
          <w:color w:val="auto"/>
          <w:sz w:val="32"/>
          <w:szCs w:val="32"/>
          <w:lang w:val="en-US" w:eastAsia="zh-CN"/>
        </w:rPr>
        <w:t>0.04mg/kg</w:t>
      </w:r>
      <w:r>
        <w:rPr>
          <w:rFonts w:hint="eastAsia" w:ascii="仿宋_GB2312" w:hAnsi="黑体" w:eastAsia="仿宋_GB2312"/>
          <w:color w:val="auto"/>
          <w:sz w:val="32"/>
          <w:szCs w:val="32"/>
          <w:lang w:val="en-US" w:eastAsia="zh-CN"/>
        </w:rPr>
        <w:t>；</w:t>
      </w:r>
      <w:r>
        <w:rPr>
          <w:rFonts w:hint="eastAsia" w:ascii="仿宋_GB2312" w:hAnsi="黑体" w:eastAsia="仿宋_GB2312"/>
          <w:color w:val="auto"/>
          <w:sz w:val="32"/>
          <w:szCs w:val="32"/>
          <w:lang w:val="en-US" w:eastAsia="zh-CN"/>
        </w:rPr>
        <w:t>茄果类蔬菜</w:t>
      </w:r>
      <w:r>
        <w:rPr>
          <w:rFonts w:hint="default" w:ascii="仿宋_GB2312" w:hAnsi="黑体" w:eastAsia="仿宋_GB2312"/>
          <w:color w:val="auto"/>
          <w:sz w:val="32"/>
          <w:szCs w:val="32"/>
          <w:lang w:val="en-US" w:eastAsia="zh-CN"/>
        </w:rPr>
        <w:t>中的最大残留限量值为</w:t>
      </w:r>
      <w:r>
        <w:rPr>
          <w:rFonts w:hint="default" w:ascii="仿宋_GB2312" w:hAnsi="黑体" w:eastAsia="仿宋_GB2312"/>
          <w:color w:val="auto"/>
          <w:sz w:val="32"/>
          <w:szCs w:val="32"/>
          <w:lang w:val="en-US" w:eastAsia="zh-CN"/>
        </w:rPr>
        <w:t>0.05mg/kg</w:t>
      </w:r>
      <w:r>
        <w:rPr>
          <w:rFonts w:hint="eastAsia" w:ascii="仿宋_GB2312" w:hAnsi="黑体" w:eastAsia="仿宋_GB2312"/>
          <w:color w:val="auto"/>
          <w:sz w:val="32"/>
          <w:szCs w:val="32"/>
          <w:lang w:val="en-US" w:eastAsia="zh-CN"/>
        </w:rPr>
        <w:t>；</w:t>
      </w:r>
      <w:r>
        <w:rPr>
          <w:rFonts w:hint="eastAsia" w:ascii="仿宋_GB2312" w:hAnsi="黑体" w:eastAsia="仿宋_GB2312"/>
          <w:color w:val="auto"/>
          <w:sz w:val="32"/>
          <w:szCs w:val="32"/>
          <w:lang w:val="en-US" w:eastAsia="zh-CN"/>
        </w:rPr>
        <w:t>芹菜、茄果类蔬菜</w:t>
      </w:r>
      <w:r>
        <w:rPr>
          <w:rFonts w:hint="default" w:ascii="仿宋_GB2312" w:hAnsi="黑体" w:eastAsia="仿宋_GB2312"/>
          <w:color w:val="auto"/>
          <w:sz w:val="32"/>
          <w:szCs w:val="32"/>
          <w:lang w:val="en-US" w:eastAsia="zh-CN"/>
        </w:rPr>
        <w:t>中噻虫胺残留量超标的原因，可能是为快速控制虫害，加大用药量或未遵守采摘间隔期规定，致使上市销售的产品中残留量超标。</w:t>
      </w:r>
    </w:p>
    <w:p>
      <w:pPr>
        <w:numPr>
          <w:ilvl w:val="0"/>
          <w:numId w:val="0"/>
        </w:numPr>
        <w:tabs>
          <w:tab w:val="left" w:pos="516"/>
        </w:tabs>
        <w:spacing w:line="560" w:lineRule="exact"/>
        <w:ind w:leftChars="200" w:right="60" w:rightChars="0"/>
        <w:jc w:val="both"/>
        <w:rPr>
          <w:rFonts w:hint="default" w:eastAsia="黑体" w:cs="黑体"/>
          <w:color w:val="auto"/>
          <w:sz w:val="32"/>
          <w:szCs w:val="32"/>
          <w:lang w:val="en-US" w:eastAsia="zh-CN"/>
        </w:rPr>
      </w:pPr>
      <w:r>
        <w:rPr>
          <w:rFonts w:hint="eastAsia" w:eastAsia="黑体" w:cs="黑体"/>
          <w:color w:val="auto"/>
          <w:sz w:val="32"/>
          <w:szCs w:val="32"/>
          <w:lang w:val="en-US" w:eastAsia="zh-CN"/>
        </w:rPr>
        <w:t>三、</w:t>
      </w:r>
      <w:r>
        <w:rPr>
          <w:rFonts w:hint="default" w:eastAsia="黑体" w:cs="黑体"/>
          <w:color w:val="auto"/>
          <w:sz w:val="32"/>
          <w:szCs w:val="32"/>
          <w:lang w:val="en-US" w:eastAsia="zh-CN"/>
        </w:rPr>
        <w:t>吡虫啉</w:t>
      </w:r>
    </w:p>
    <w:p>
      <w:pPr>
        <w:numPr>
          <w:ilvl w:val="0"/>
          <w:numId w:val="0"/>
        </w:numPr>
        <w:tabs>
          <w:tab w:val="left" w:pos="516"/>
        </w:tabs>
        <w:spacing w:line="560" w:lineRule="exact"/>
        <w:ind w:right="60" w:rightChars="0"/>
        <w:jc w:val="both"/>
        <w:rPr>
          <w:rFonts w:hint="default" w:ascii="仿宋_GB2312" w:hAnsi="黑体" w:eastAsia="仿宋_GB2312"/>
          <w:color w:val="auto"/>
          <w:sz w:val="32"/>
          <w:szCs w:val="32"/>
          <w:lang w:val="en-US" w:eastAsia="zh-CN"/>
        </w:rPr>
      </w:pPr>
      <w:r>
        <w:rPr>
          <w:rFonts w:hint="default" w:eastAsia="黑体" w:cs="黑体"/>
          <w:color w:val="auto"/>
          <w:sz w:val="32"/>
          <w:szCs w:val="32"/>
          <w:lang w:val="en-US" w:eastAsia="zh-CN"/>
        </w:rPr>
        <w:t xml:space="preserve">  </w:t>
      </w:r>
      <w:r>
        <w:rPr>
          <w:rFonts w:hint="default" w:ascii="仿宋_GB2312" w:hAnsi="黑体" w:eastAsia="仿宋_GB2312"/>
          <w:color w:val="auto"/>
          <w:sz w:val="32"/>
          <w:szCs w:val="32"/>
          <w:lang w:val="en-US" w:eastAsia="zh-CN"/>
        </w:rPr>
        <w:t> </w:t>
      </w:r>
      <w:r>
        <w:rPr>
          <w:rFonts w:hint="eastAsia" w:ascii="仿宋_GB2312" w:hAnsi="黑体" w:eastAsia="仿宋_GB2312"/>
          <w:color w:val="auto"/>
          <w:sz w:val="32"/>
          <w:szCs w:val="32"/>
          <w:lang w:val="en-US" w:eastAsia="zh-CN"/>
        </w:rPr>
        <w:t xml:space="preserve">  </w:t>
      </w:r>
      <w:r>
        <w:rPr>
          <w:rFonts w:hint="default" w:ascii="仿宋_GB2312" w:hAnsi="黑体" w:eastAsia="仿宋_GB2312"/>
          <w:color w:val="auto"/>
          <w:sz w:val="32"/>
          <w:szCs w:val="32"/>
          <w:lang w:val="en-US" w:eastAsia="zh-CN"/>
        </w:rPr>
        <w:t>吡虫啉</w:t>
      </w:r>
      <w:r>
        <w:rPr>
          <w:rFonts w:hint="default" w:ascii="仿宋_GB2312" w:hAnsi="黑体" w:eastAsia="仿宋_GB2312"/>
          <w:color w:val="auto"/>
          <w:sz w:val="32"/>
          <w:szCs w:val="32"/>
          <w:lang w:val="en-US" w:eastAsia="zh-CN"/>
        </w:rPr>
        <w:t>属内吸性杀虫剂，具有触杀和胃毒作用。少量的残留不会引起人体急性中毒，但长期食用吡虫啉超标的食品，对人体健康可能有一定影响。《食品安全国家标准 食品中农药最大残留限量》（GB 2763—</w:t>
      </w:r>
      <w:r>
        <w:rPr>
          <w:rFonts w:hint="default" w:ascii="仿宋_GB2312" w:hAnsi="黑体" w:eastAsia="仿宋_GB2312"/>
          <w:color w:val="auto"/>
          <w:sz w:val="32"/>
          <w:szCs w:val="32"/>
          <w:lang w:val="en-US" w:eastAsia="zh-CN"/>
        </w:rPr>
        <w:t>20</w:t>
      </w:r>
      <w:r>
        <w:rPr>
          <w:rFonts w:hint="eastAsia" w:ascii="仿宋_GB2312" w:hAnsi="黑体" w:eastAsia="仿宋_GB2312"/>
          <w:color w:val="auto"/>
          <w:sz w:val="32"/>
          <w:szCs w:val="32"/>
          <w:lang w:val="en-US" w:eastAsia="zh-CN"/>
        </w:rPr>
        <w:t>21</w:t>
      </w:r>
      <w:r>
        <w:rPr>
          <w:rFonts w:hint="default" w:ascii="仿宋_GB2312" w:hAnsi="黑体" w:eastAsia="仿宋_GB2312"/>
          <w:color w:val="auto"/>
          <w:sz w:val="32"/>
          <w:szCs w:val="32"/>
          <w:lang w:val="en-US" w:eastAsia="zh-CN"/>
        </w:rPr>
        <w:t>）中规定，吡虫啉在</w:t>
      </w:r>
      <w:r>
        <w:rPr>
          <w:rFonts w:hint="default" w:ascii="仿宋_GB2312" w:hAnsi="黑体" w:eastAsia="仿宋_GB2312"/>
          <w:color w:val="auto"/>
          <w:sz w:val="32"/>
          <w:szCs w:val="32"/>
          <w:lang w:val="en-US" w:eastAsia="zh-CN"/>
        </w:rPr>
        <w:t>香蕉</w:t>
      </w:r>
      <w:r>
        <w:rPr>
          <w:rFonts w:hint="default" w:ascii="仿宋_GB2312" w:hAnsi="黑体" w:eastAsia="仿宋_GB2312"/>
          <w:color w:val="auto"/>
          <w:sz w:val="32"/>
          <w:szCs w:val="32"/>
          <w:lang w:val="en-US" w:eastAsia="zh-CN"/>
        </w:rPr>
        <w:t>中的最大残留限量值为</w:t>
      </w:r>
      <w:r>
        <w:rPr>
          <w:rFonts w:hint="default" w:ascii="仿宋_GB2312" w:hAnsi="黑体" w:eastAsia="仿宋_GB2312"/>
          <w:color w:val="auto"/>
          <w:sz w:val="32"/>
          <w:szCs w:val="32"/>
          <w:lang w:val="en-US" w:eastAsia="zh-CN"/>
        </w:rPr>
        <w:t>0.05mg/kg</w:t>
      </w:r>
      <w:r>
        <w:rPr>
          <w:rFonts w:hint="default" w:ascii="仿宋_GB2312" w:hAnsi="黑体" w:eastAsia="仿宋_GB2312"/>
          <w:color w:val="auto"/>
          <w:sz w:val="32"/>
          <w:szCs w:val="32"/>
          <w:lang w:val="en-US" w:eastAsia="zh-CN"/>
        </w:rPr>
        <w:t>。</w:t>
      </w:r>
      <w:r>
        <w:rPr>
          <w:rFonts w:hint="default" w:ascii="仿宋_GB2312" w:hAnsi="黑体" w:eastAsia="仿宋_GB2312"/>
          <w:color w:val="auto"/>
          <w:sz w:val="32"/>
          <w:szCs w:val="32"/>
          <w:lang w:val="en-US" w:eastAsia="zh-CN"/>
        </w:rPr>
        <w:t>香蕉中</w:t>
      </w:r>
      <w:r>
        <w:rPr>
          <w:rFonts w:hint="default" w:ascii="仿宋_GB2312" w:hAnsi="黑体" w:eastAsia="仿宋_GB2312"/>
          <w:color w:val="auto"/>
          <w:sz w:val="32"/>
          <w:szCs w:val="32"/>
          <w:lang w:val="en-US" w:eastAsia="zh-CN"/>
        </w:rPr>
        <w:t>吡虫啉残留量超标的原因，可能是为快速控制虫害，加大用药量或未遵守采摘间隔期规定，致使上市销售的产品中残留量超标。</w:t>
      </w:r>
    </w:p>
    <w:p>
      <w:pPr>
        <w:numPr>
          <w:ilvl w:val="0"/>
          <w:numId w:val="0"/>
        </w:numPr>
        <w:tabs>
          <w:tab w:val="left" w:pos="516"/>
        </w:tabs>
        <w:spacing w:line="560" w:lineRule="exact"/>
        <w:ind w:leftChars="200" w:right="60" w:rightChars="0"/>
        <w:jc w:val="both"/>
        <w:rPr>
          <w:rFonts w:hint="default" w:eastAsia="黑体" w:cs="黑体"/>
          <w:color w:val="auto"/>
          <w:sz w:val="32"/>
          <w:szCs w:val="32"/>
          <w:lang w:val="en-US" w:eastAsia="zh-CN"/>
        </w:rPr>
      </w:pPr>
      <w:r>
        <w:rPr>
          <w:rFonts w:hint="eastAsia" w:eastAsia="黑体" w:cs="黑体"/>
          <w:color w:val="auto"/>
          <w:sz w:val="32"/>
          <w:szCs w:val="32"/>
          <w:lang w:val="en-US" w:eastAsia="zh-CN"/>
        </w:rPr>
        <w:t>四、</w:t>
      </w:r>
      <w:r>
        <w:rPr>
          <w:rFonts w:hint="default" w:eastAsia="黑体" w:cs="黑体"/>
          <w:color w:val="auto"/>
          <w:sz w:val="32"/>
          <w:szCs w:val="32"/>
          <w:lang w:val="en-US" w:eastAsia="zh-CN"/>
        </w:rPr>
        <w:t>噻虫嗪</w:t>
      </w:r>
    </w:p>
    <w:p>
      <w:pPr>
        <w:numPr>
          <w:ilvl w:val="0"/>
          <w:numId w:val="0"/>
        </w:numPr>
        <w:tabs>
          <w:tab w:val="left" w:pos="516"/>
        </w:tabs>
        <w:spacing w:line="560" w:lineRule="exact"/>
        <w:ind w:right="60" w:rightChars="0" w:firstLine="640" w:firstLineChars="200"/>
        <w:jc w:val="both"/>
        <w:rPr>
          <w:rFonts w:hint="eastAsia" w:ascii="仿宋_GB2312" w:hAnsi="黑体" w:eastAsia="仿宋_GB2312"/>
          <w:color w:val="auto"/>
          <w:sz w:val="32"/>
          <w:szCs w:val="32"/>
          <w:lang w:val="en-US" w:eastAsia="zh-CN"/>
        </w:rPr>
      </w:pPr>
      <w:r>
        <w:rPr>
          <w:rFonts w:hint="eastAsia" w:ascii="仿宋_GB2312" w:hAnsi="黑体" w:eastAsia="仿宋_GB2312"/>
          <w:color w:val="auto"/>
          <w:sz w:val="32"/>
          <w:szCs w:val="32"/>
          <w:lang w:val="en-US" w:eastAsia="zh-CN"/>
        </w:rPr>
        <w:t>噻虫嗪是</w:t>
      </w:r>
      <w:r>
        <w:rPr>
          <w:rFonts w:hint="eastAsia" w:ascii="仿宋_GB2312" w:hAnsi="黑体" w:eastAsia="仿宋_GB2312"/>
          <w:color w:val="auto"/>
          <w:sz w:val="32"/>
          <w:szCs w:val="32"/>
          <w:lang w:val="en-US" w:eastAsia="zh-CN"/>
        </w:rPr>
        <w:t>烟碱类杀虫剂，具有胃毒、触杀和内吸作用，对蚜虫、蛴螬等有较好防效。少量的残留不会引起人体急性中毒，但长期食用</w:t>
      </w:r>
      <w:r>
        <w:rPr>
          <w:rFonts w:hint="eastAsia" w:ascii="仿宋_GB2312" w:hAnsi="黑体" w:eastAsia="仿宋_GB2312"/>
          <w:color w:val="auto"/>
          <w:sz w:val="32"/>
          <w:szCs w:val="32"/>
          <w:lang w:val="en-US" w:eastAsia="zh-CN"/>
        </w:rPr>
        <w:t>噻虫嗪</w:t>
      </w:r>
      <w:r>
        <w:rPr>
          <w:rFonts w:hint="eastAsia" w:ascii="仿宋_GB2312" w:hAnsi="黑体" w:eastAsia="仿宋_GB2312"/>
          <w:color w:val="auto"/>
          <w:sz w:val="32"/>
          <w:szCs w:val="32"/>
          <w:lang w:val="en-US" w:eastAsia="zh-CN"/>
        </w:rPr>
        <w:t>超标的食品，对人体健康可能有一定影响。《食品安全国家标准 食品中农药最大残留限量》（GB 2763—</w:t>
      </w:r>
      <w:r>
        <w:rPr>
          <w:rFonts w:hint="eastAsia" w:ascii="仿宋_GB2312" w:hAnsi="黑体" w:eastAsia="仿宋_GB2312"/>
          <w:color w:val="auto"/>
          <w:sz w:val="32"/>
          <w:szCs w:val="32"/>
          <w:lang w:val="en-US" w:eastAsia="zh-CN"/>
        </w:rPr>
        <w:t>2021</w:t>
      </w:r>
      <w:r>
        <w:rPr>
          <w:rFonts w:hint="eastAsia" w:ascii="仿宋_GB2312" w:hAnsi="黑体" w:eastAsia="仿宋_GB2312"/>
          <w:color w:val="auto"/>
          <w:sz w:val="32"/>
          <w:szCs w:val="32"/>
          <w:lang w:val="en-US" w:eastAsia="zh-CN"/>
        </w:rPr>
        <w:t>）中规定，</w:t>
      </w:r>
      <w:r>
        <w:rPr>
          <w:rFonts w:hint="eastAsia" w:ascii="仿宋_GB2312" w:hAnsi="黑体" w:eastAsia="仿宋_GB2312"/>
          <w:color w:val="auto"/>
          <w:sz w:val="32"/>
          <w:szCs w:val="32"/>
          <w:lang w:val="en-US" w:eastAsia="zh-CN"/>
        </w:rPr>
        <w:t>噻虫嗪</w:t>
      </w:r>
      <w:r>
        <w:rPr>
          <w:rFonts w:hint="eastAsia" w:ascii="仿宋_GB2312" w:hAnsi="黑体" w:eastAsia="仿宋_GB2312"/>
          <w:color w:val="auto"/>
          <w:sz w:val="32"/>
          <w:szCs w:val="32"/>
          <w:lang w:val="en-US" w:eastAsia="zh-CN"/>
        </w:rPr>
        <w:t>在</w:t>
      </w:r>
      <w:r>
        <w:rPr>
          <w:rFonts w:hint="eastAsia" w:ascii="仿宋_GB2312" w:hAnsi="黑体" w:eastAsia="仿宋_GB2312"/>
          <w:color w:val="auto"/>
          <w:sz w:val="32"/>
          <w:szCs w:val="32"/>
          <w:lang w:val="en-US" w:eastAsia="zh-CN"/>
        </w:rPr>
        <w:t>鳞茎类蔬菜</w:t>
      </w:r>
      <w:r>
        <w:rPr>
          <w:rFonts w:hint="eastAsia" w:ascii="仿宋_GB2312" w:hAnsi="黑体" w:eastAsia="仿宋_GB2312"/>
          <w:color w:val="auto"/>
          <w:sz w:val="32"/>
          <w:szCs w:val="32"/>
          <w:lang w:val="en-US" w:eastAsia="zh-CN"/>
        </w:rPr>
        <w:t>中的最大残留限量值为</w:t>
      </w:r>
      <w:r>
        <w:rPr>
          <w:rFonts w:hint="eastAsia" w:ascii="仿宋_GB2312" w:hAnsi="黑体" w:eastAsia="仿宋_GB2312"/>
          <w:color w:val="auto"/>
          <w:sz w:val="32"/>
          <w:szCs w:val="32"/>
          <w:lang w:val="en-US" w:eastAsia="zh-CN"/>
        </w:rPr>
        <w:t>0.3mg/kg</w:t>
      </w:r>
      <w:r>
        <w:rPr>
          <w:rFonts w:hint="eastAsia" w:ascii="仿宋_GB2312" w:hAnsi="黑体" w:eastAsia="仿宋_GB2312"/>
          <w:color w:val="auto"/>
          <w:sz w:val="32"/>
          <w:szCs w:val="32"/>
          <w:lang w:val="en-US" w:eastAsia="zh-CN"/>
        </w:rPr>
        <w:t>。</w:t>
      </w:r>
      <w:r>
        <w:rPr>
          <w:rFonts w:hint="eastAsia" w:ascii="仿宋_GB2312" w:hAnsi="黑体" w:eastAsia="仿宋_GB2312"/>
          <w:color w:val="auto"/>
          <w:sz w:val="32"/>
          <w:szCs w:val="32"/>
          <w:lang w:val="en-US" w:eastAsia="zh-CN"/>
        </w:rPr>
        <w:t>大葱</w:t>
      </w:r>
      <w:r>
        <w:rPr>
          <w:rFonts w:hint="eastAsia" w:ascii="仿宋_GB2312" w:hAnsi="黑体" w:eastAsia="仿宋_GB2312"/>
          <w:color w:val="auto"/>
          <w:sz w:val="32"/>
          <w:szCs w:val="32"/>
          <w:lang w:val="en-US" w:eastAsia="zh-CN"/>
        </w:rPr>
        <w:t>中噻虫嗪残留量超标的原因，可能是为快速控制虫害，加大用药量或未遵守采摘间隔期规定，致使上市销售的产品中残留量超标。</w:t>
      </w:r>
    </w:p>
    <w:p>
      <w:pPr>
        <w:numPr>
          <w:ilvl w:val="0"/>
          <w:numId w:val="0"/>
        </w:numPr>
        <w:tabs>
          <w:tab w:val="left" w:pos="516"/>
        </w:tabs>
        <w:spacing w:line="560" w:lineRule="exact"/>
        <w:ind w:leftChars="200" w:right="60" w:rightChars="0"/>
        <w:jc w:val="both"/>
        <w:rPr>
          <w:rFonts w:hint="default" w:eastAsia="黑体" w:cs="黑体"/>
          <w:color w:val="auto"/>
          <w:sz w:val="32"/>
          <w:szCs w:val="32"/>
          <w:lang w:val="en-US" w:eastAsia="zh-CN"/>
        </w:rPr>
      </w:pPr>
      <w:r>
        <w:rPr>
          <w:rFonts w:hint="eastAsia" w:eastAsia="黑体" w:cs="黑体"/>
          <w:color w:val="auto"/>
          <w:sz w:val="32"/>
          <w:szCs w:val="32"/>
          <w:lang w:val="en-US" w:eastAsia="zh-CN"/>
        </w:rPr>
        <w:t>五、</w:t>
      </w:r>
      <w:r>
        <w:rPr>
          <w:rFonts w:hint="default" w:eastAsia="黑体" w:cs="黑体"/>
          <w:color w:val="auto"/>
          <w:sz w:val="32"/>
          <w:szCs w:val="32"/>
          <w:lang w:val="en-US" w:eastAsia="zh-CN"/>
        </w:rPr>
        <w:t>啶虫脒</w:t>
      </w:r>
    </w:p>
    <w:p>
      <w:pPr>
        <w:numPr>
          <w:ilvl w:val="0"/>
          <w:numId w:val="0"/>
        </w:numPr>
        <w:tabs>
          <w:tab w:val="left" w:pos="516"/>
        </w:tabs>
        <w:spacing w:line="560" w:lineRule="exact"/>
        <w:ind w:right="60" w:rightChars="0" w:firstLine="640" w:firstLineChars="200"/>
        <w:jc w:val="both"/>
        <w:rPr>
          <w:rFonts w:hint="default" w:ascii="仿宋_GB2312" w:hAnsi="黑体" w:eastAsia="仿宋_GB2312"/>
          <w:color w:val="auto"/>
          <w:sz w:val="32"/>
          <w:szCs w:val="32"/>
          <w:lang w:val="en-US" w:eastAsia="zh-CN"/>
        </w:rPr>
      </w:pPr>
      <w:r>
        <w:rPr>
          <w:rFonts w:hint="default" w:ascii="仿宋_GB2312" w:hAnsi="黑体" w:eastAsia="仿宋_GB2312"/>
          <w:color w:val="auto"/>
          <w:sz w:val="32"/>
          <w:szCs w:val="32"/>
          <w:lang w:val="en-US" w:eastAsia="zh-CN"/>
        </w:rPr>
        <w:t>啶虫脒是一种烟碱类杀虫剂，具有触杀、胃毒和内吸作用，对蚜虫等有较好防效。少量的残留不会引起人体急性中毒，但长期食用啶虫脒残留超标的食品，可能对人体健康有一定影响。《食品安全国家标准 食品中农药最大残留限量》（GB 2763—20</w:t>
      </w:r>
      <w:r>
        <w:rPr>
          <w:rFonts w:hint="eastAsia" w:ascii="仿宋_GB2312" w:hAnsi="黑体" w:eastAsia="仿宋_GB2312"/>
          <w:color w:val="auto"/>
          <w:sz w:val="32"/>
          <w:szCs w:val="32"/>
          <w:lang w:val="en-US" w:eastAsia="zh-CN"/>
        </w:rPr>
        <w:t>21</w:t>
      </w:r>
      <w:r>
        <w:rPr>
          <w:rFonts w:hint="default" w:ascii="仿宋_GB2312" w:hAnsi="黑体" w:eastAsia="仿宋_GB2312"/>
          <w:color w:val="auto"/>
          <w:sz w:val="32"/>
          <w:szCs w:val="32"/>
          <w:lang w:val="en-US" w:eastAsia="zh-CN"/>
        </w:rPr>
        <w:t>）中规定，啶虫脒在茄果类蔬菜中的最大残留限量值为0.2mg/kg。</w:t>
      </w:r>
      <w:r>
        <w:rPr>
          <w:rFonts w:hint="eastAsia" w:ascii="仿宋_GB2312" w:hAnsi="黑体" w:eastAsia="仿宋_GB2312"/>
          <w:color w:val="auto"/>
          <w:sz w:val="32"/>
          <w:szCs w:val="32"/>
          <w:lang w:val="en-US" w:eastAsia="zh-CN"/>
        </w:rPr>
        <w:t>螺丝椒（</w:t>
      </w:r>
      <w:r>
        <w:rPr>
          <w:rFonts w:hint="default" w:ascii="仿宋_GB2312" w:hAnsi="黑体" w:eastAsia="仿宋_GB2312"/>
          <w:color w:val="auto"/>
          <w:sz w:val="32"/>
          <w:szCs w:val="32"/>
          <w:lang w:val="en-US" w:eastAsia="zh-CN"/>
        </w:rPr>
        <w:t>茄果类蔬菜</w:t>
      </w:r>
      <w:r>
        <w:rPr>
          <w:rFonts w:hint="eastAsia" w:ascii="仿宋_GB2312" w:hAnsi="黑体" w:eastAsia="仿宋_GB2312"/>
          <w:color w:val="auto"/>
          <w:sz w:val="32"/>
          <w:szCs w:val="32"/>
          <w:lang w:val="en-US" w:eastAsia="zh-CN"/>
        </w:rPr>
        <w:t>）</w:t>
      </w:r>
      <w:r>
        <w:rPr>
          <w:rFonts w:hint="default" w:ascii="仿宋_GB2312" w:hAnsi="黑体" w:eastAsia="仿宋_GB2312"/>
          <w:color w:val="auto"/>
          <w:sz w:val="32"/>
          <w:szCs w:val="32"/>
          <w:lang w:val="en-US" w:eastAsia="zh-CN"/>
        </w:rPr>
        <w:t>中啶虫脒残留量超标的原因，可能是为快速控制虫害，加大用药量或未遵守采摘间隔期规定，致使上市销售的产品中残留量超标。</w:t>
      </w:r>
    </w:p>
    <w:p>
      <w:pPr>
        <w:numPr>
          <w:ilvl w:val="0"/>
          <w:numId w:val="0"/>
        </w:numPr>
        <w:tabs>
          <w:tab w:val="left" w:pos="516"/>
        </w:tabs>
        <w:spacing w:line="560" w:lineRule="exact"/>
        <w:ind w:leftChars="200" w:right="60" w:rightChars="0"/>
        <w:jc w:val="both"/>
        <w:rPr>
          <w:rFonts w:hint="default" w:eastAsia="黑体" w:cs="黑体"/>
          <w:color w:val="auto"/>
          <w:sz w:val="32"/>
          <w:szCs w:val="32"/>
          <w:lang w:val="en-US" w:eastAsia="zh-CN"/>
        </w:rPr>
      </w:pPr>
      <w:r>
        <w:rPr>
          <w:rFonts w:hint="eastAsia" w:eastAsia="黑体" w:cs="黑体"/>
          <w:color w:val="auto"/>
          <w:sz w:val="32"/>
          <w:szCs w:val="32"/>
          <w:lang w:val="en-US" w:eastAsia="zh-CN"/>
        </w:rPr>
        <w:t>六、</w:t>
      </w:r>
      <w:r>
        <w:rPr>
          <w:rFonts w:hint="default" w:eastAsia="黑体" w:cs="黑体"/>
          <w:color w:val="auto"/>
          <w:sz w:val="32"/>
          <w:szCs w:val="32"/>
          <w:lang w:val="en-US" w:eastAsia="zh-CN"/>
        </w:rPr>
        <w:t>地美硝唑</w:t>
      </w:r>
    </w:p>
    <w:p>
      <w:pPr>
        <w:numPr>
          <w:ilvl w:val="0"/>
          <w:numId w:val="0"/>
        </w:numPr>
        <w:tabs>
          <w:tab w:val="left" w:pos="516"/>
        </w:tabs>
        <w:spacing w:line="560" w:lineRule="exact"/>
        <w:ind w:right="60" w:rightChars="0" w:firstLine="640" w:firstLineChars="200"/>
        <w:jc w:val="both"/>
        <w:rPr>
          <w:rFonts w:hint="default" w:ascii="仿宋_GB2312" w:hAnsi="黑体" w:eastAsia="仿宋_GB2312"/>
          <w:color w:val="auto"/>
          <w:sz w:val="32"/>
          <w:szCs w:val="32"/>
          <w:lang w:val="en-US" w:eastAsia="zh-CN"/>
        </w:rPr>
      </w:pPr>
      <w:r>
        <w:rPr>
          <w:rFonts w:hint="default" w:ascii="仿宋_GB2312" w:hAnsi="黑体" w:eastAsia="仿宋_GB2312"/>
          <w:color w:val="auto"/>
          <w:sz w:val="32"/>
          <w:szCs w:val="32"/>
          <w:lang w:val="en-US" w:eastAsia="zh-CN"/>
        </w:rPr>
        <w:t>地美硝唑</w:t>
      </w:r>
      <w:r>
        <w:rPr>
          <w:rFonts w:hint="default" w:ascii="仿宋_GB2312" w:hAnsi="黑体" w:eastAsia="仿宋_GB2312"/>
          <w:color w:val="auto"/>
          <w:sz w:val="32"/>
          <w:szCs w:val="32"/>
          <w:lang w:val="en-US" w:eastAsia="zh-CN"/>
        </w:rPr>
        <w:t>是硝基咪唑类抗原虫药，可用于治疗禽组织滴虫病等。长期大量食用检出地美硝唑的食品，可能在人体内蓄积，引起平衡失调以及肝肾功能损伤等。《食品安全国家标准 食品中兽药最大残留限量》（GB 31650—2019）中规定，地美硝唑为允许作治疗用，但不得在动物性食品中检出的兽药。鸡蛋中检出地美硝唑的原因，可能是用药治疗蛋鸡疾病导致地美硝唑在其体内残留，进而传递至鸡蛋中</w:t>
      </w:r>
      <w:r>
        <w:rPr>
          <w:rFonts w:hint="default" w:ascii="仿宋_GB2312" w:hAnsi="黑体" w:eastAsia="仿宋_GB2312"/>
          <w:color w:val="auto"/>
          <w:sz w:val="32"/>
          <w:szCs w:val="32"/>
          <w:lang w:val="en-US" w:eastAsia="zh-CN"/>
        </w:rPr>
        <w:t>。</w:t>
      </w:r>
    </w:p>
    <w:p>
      <w:pPr>
        <w:numPr>
          <w:ilvl w:val="0"/>
          <w:numId w:val="0"/>
        </w:numPr>
        <w:tabs>
          <w:tab w:val="left" w:pos="516"/>
        </w:tabs>
        <w:spacing w:line="560" w:lineRule="exact"/>
        <w:ind w:leftChars="200" w:right="60" w:rightChars="0"/>
        <w:jc w:val="both"/>
        <w:rPr>
          <w:rFonts w:hint="default" w:eastAsia="黑体" w:cs="黑体"/>
          <w:color w:val="auto"/>
          <w:sz w:val="32"/>
          <w:szCs w:val="32"/>
          <w:lang w:val="en-US" w:eastAsia="zh-CN"/>
        </w:rPr>
      </w:pPr>
      <w:r>
        <w:rPr>
          <w:rFonts w:hint="eastAsia" w:eastAsia="黑体" w:cs="黑体"/>
          <w:color w:val="auto"/>
          <w:sz w:val="32"/>
          <w:szCs w:val="32"/>
          <w:lang w:val="en-US" w:eastAsia="zh-CN"/>
        </w:rPr>
        <w:t>七、</w:t>
      </w:r>
      <w:r>
        <w:rPr>
          <w:rFonts w:hint="default" w:eastAsia="黑体" w:cs="黑体"/>
          <w:color w:val="auto"/>
          <w:sz w:val="32"/>
          <w:szCs w:val="32"/>
          <w:lang w:val="en-US" w:eastAsia="zh-CN"/>
        </w:rPr>
        <w:t>倍硫磷</w:t>
      </w:r>
    </w:p>
    <w:p>
      <w:pPr>
        <w:numPr>
          <w:ilvl w:val="0"/>
          <w:numId w:val="0"/>
        </w:numPr>
        <w:tabs>
          <w:tab w:val="left" w:pos="516"/>
        </w:tabs>
        <w:spacing w:line="560" w:lineRule="exact"/>
        <w:ind w:right="60" w:rightChars="0" w:firstLine="640" w:firstLineChars="200"/>
        <w:jc w:val="both"/>
        <w:rPr>
          <w:rFonts w:hint="default" w:ascii="仿宋_GB2312" w:hAnsi="黑体" w:eastAsia="仿宋_GB2312"/>
          <w:color w:val="auto"/>
          <w:sz w:val="32"/>
          <w:szCs w:val="32"/>
          <w:lang w:val="en-US" w:eastAsia="zh-CN"/>
        </w:rPr>
      </w:pPr>
      <w:r>
        <w:rPr>
          <w:rFonts w:hint="default" w:ascii="仿宋_GB2312" w:hAnsi="黑体" w:eastAsia="仿宋_GB2312"/>
          <w:color w:val="auto"/>
          <w:sz w:val="32"/>
          <w:szCs w:val="32"/>
          <w:lang w:val="en-US" w:eastAsia="zh-CN"/>
        </w:rPr>
        <w:t> 倍硫磷是</w:t>
      </w:r>
      <w:r>
        <w:rPr>
          <w:rFonts w:hint="default" w:ascii="仿宋_GB2312" w:hAnsi="黑体" w:eastAsia="仿宋_GB2312"/>
          <w:color w:val="auto"/>
          <w:sz w:val="32"/>
          <w:szCs w:val="32"/>
          <w:lang w:val="en-US" w:eastAsia="zh-CN"/>
        </w:rPr>
        <w:t>一种具有触杀、胃毒和熏蒸作用的有机磷农药，对蚜虫等有较好防效。少量的残留不会引起人体急性中毒，但长期食用倍硫磷超标的食品，对人体健康可能有一定影响。《食品安全国家标准 食品中农药最大残留限量》（GB 2763—</w:t>
      </w:r>
      <w:r>
        <w:rPr>
          <w:rFonts w:hint="default" w:ascii="仿宋_GB2312" w:hAnsi="黑体" w:eastAsia="仿宋_GB2312"/>
          <w:color w:val="auto"/>
          <w:sz w:val="32"/>
          <w:szCs w:val="32"/>
          <w:lang w:val="en-US" w:eastAsia="zh-CN"/>
        </w:rPr>
        <w:t>20</w:t>
      </w:r>
      <w:r>
        <w:rPr>
          <w:rFonts w:hint="eastAsia" w:ascii="仿宋_GB2312" w:hAnsi="黑体" w:eastAsia="仿宋_GB2312"/>
          <w:color w:val="auto"/>
          <w:sz w:val="32"/>
          <w:szCs w:val="32"/>
          <w:lang w:val="en-US" w:eastAsia="zh-CN"/>
        </w:rPr>
        <w:t>21</w:t>
      </w:r>
      <w:r>
        <w:rPr>
          <w:rFonts w:hint="default" w:ascii="仿宋_GB2312" w:hAnsi="黑体" w:eastAsia="仿宋_GB2312"/>
          <w:color w:val="auto"/>
          <w:sz w:val="32"/>
          <w:szCs w:val="32"/>
          <w:lang w:val="en-US" w:eastAsia="zh-CN"/>
        </w:rPr>
        <w:t>）中规定，倍硫磷在</w:t>
      </w:r>
      <w:r>
        <w:rPr>
          <w:rFonts w:hint="default" w:ascii="仿宋_GB2312" w:hAnsi="黑体" w:eastAsia="仿宋_GB2312"/>
          <w:color w:val="auto"/>
          <w:sz w:val="32"/>
          <w:szCs w:val="32"/>
          <w:lang w:val="en-US" w:eastAsia="zh-CN"/>
        </w:rPr>
        <w:t>豆类蔬菜</w:t>
      </w:r>
      <w:r>
        <w:rPr>
          <w:rFonts w:hint="default" w:ascii="仿宋_GB2312" w:hAnsi="黑体" w:eastAsia="仿宋_GB2312"/>
          <w:color w:val="auto"/>
          <w:sz w:val="32"/>
          <w:szCs w:val="32"/>
          <w:lang w:val="en-US" w:eastAsia="zh-CN"/>
        </w:rPr>
        <w:t>中的最大残留限量值为</w:t>
      </w:r>
      <w:r>
        <w:rPr>
          <w:rFonts w:hint="default" w:ascii="仿宋_GB2312" w:hAnsi="黑体" w:eastAsia="仿宋_GB2312"/>
          <w:color w:val="auto"/>
          <w:sz w:val="32"/>
          <w:szCs w:val="32"/>
          <w:lang w:val="en-US" w:eastAsia="zh-CN"/>
        </w:rPr>
        <w:t>0.05mg/kg</w:t>
      </w:r>
      <w:r>
        <w:rPr>
          <w:rFonts w:hint="default" w:ascii="仿宋_GB2312" w:hAnsi="黑体" w:eastAsia="仿宋_GB2312"/>
          <w:color w:val="auto"/>
          <w:sz w:val="32"/>
          <w:szCs w:val="32"/>
          <w:lang w:val="en-US" w:eastAsia="zh-CN"/>
        </w:rPr>
        <w:t>。</w:t>
      </w:r>
      <w:r>
        <w:rPr>
          <w:rFonts w:hint="default" w:ascii="仿宋_GB2312" w:hAnsi="黑体" w:eastAsia="仿宋_GB2312"/>
          <w:color w:val="auto"/>
          <w:sz w:val="32"/>
          <w:szCs w:val="32"/>
          <w:lang w:val="en-US" w:eastAsia="zh-CN"/>
        </w:rPr>
        <w:t>豇豆</w:t>
      </w:r>
      <w:r>
        <w:rPr>
          <w:rFonts w:hint="default" w:ascii="仿宋_GB2312" w:hAnsi="黑体" w:eastAsia="仿宋_GB2312"/>
          <w:color w:val="auto"/>
          <w:sz w:val="32"/>
          <w:szCs w:val="32"/>
          <w:lang w:val="en-US" w:eastAsia="zh-CN"/>
        </w:rPr>
        <w:t>中倍硫磷残留量超标的原因，可能是为快速控制虫害，加大用药量或未遵守采摘间隔期规定，致使上市销售的产品中残留量超标。</w:t>
      </w:r>
    </w:p>
    <w:p>
      <w:pPr>
        <w:numPr>
          <w:ilvl w:val="0"/>
          <w:numId w:val="0"/>
        </w:numPr>
        <w:tabs>
          <w:tab w:val="left" w:pos="516"/>
        </w:tabs>
        <w:spacing w:line="560" w:lineRule="exact"/>
        <w:ind w:leftChars="200" w:right="60" w:rightChars="0"/>
        <w:jc w:val="both"/>
        <w:rPr>
          <w:rFonts w:hint="default" w:eastAsia="黑体" w:cs="黑体"/>
          <w:color w:val="auto"/>
          <w:sz w:val="32"/>
          <w:szCs w:val="32"/>
          <w:lang w:val="en-US" w:eastAsia="zh-CN"/>
        </w:rPr>
      </w:pPr>
      <w:r>
        <w:rPr>
          <w:rFonts w:hint="eastAsia" w:eastAsia="黑体" w:cs="黑体"/>
          <w:color w:val="auto"/>
          <w:sz w:val="32"/>
          <w:szCs w:val="32"/>
          <w:lang w:val="en-US" w:eastAsia="zh-CN"/>
        </w:rPr>
        <w:t>八、</w:t>
      </w:r>
      <w:r>
        <w:rPr>
          <w:rFonts w:hint="default" w:eastAsia="黑体" w:cs="黑体"/>
          <w:color w:val="auto"/>
          <w:sz w:val="32"/>
          <w:szCs w:val="32"/>
          <w:lang w:val="en-US" w:eastAsia="zh-CN"/>
        </w:rPr>
        <w:t>二氧化硫残留量</w:t>
      </w:r>
    </w:p>
    <w:p>
      <w:pPr>
        <w:numPr>
          <w:ilvl w:val="0"/>
          <w:numId w:val="0"/>
        </w:numPr>
        <w:tabs>
          <w:tab w:val="left" w:pos="516"/>
        </w:tabs>
        <w:spacing w:line="560" w:lineRule="exact"/>
        <w:ind w:right="60" w:rightChars="0" w:firstLine="600" w:firstLineChars="200"/>
        <w:jc w:val="both"/>
        <w:rPr>
          <w:rFonts w:hint="default" w:ascii="仿宋_GB2312" w:hAnsi="黑体" w:eastAsia="仿宋_GB2312"/>
          <w:color w:val="auto"/>
          <w:sz w:val="32"/>
          <w:szCs w:val="32"/>
          <w:lang w:val="en-US" w:eastAsia="zh-CN"/>
        </w:rPr>
      </w:pPr>
      <w:r>
        <w:rPr>
          <w:rFonts w:hint="default" w:ascii="仿宋_GB2312" w:hAnsi="黑体" w:eastAsia="仿宋_GB2312"/>
          <w:color w:val="auto"/>
          <w:sz w:val="30"/>
          <w:szCs w:val="30"/>
          <w:lang w:val="en-US" w:eastAsia="zh-CN"/>
        </w:rPr>
        <w:t>二氧化硫</w:t>
      </w:r>
      <w:r>
        <w:rPr>
          <w:rFonts w:hint="default" w:ascii="仿宋_GB2312" w:hAnsi="黑体" w:eastAsia="仿宋_GB2312"/>
          <w:color w:val="auto"/>
          <w:sz w:val="32"/>
          <w:szCs w:val="32"/>
          <w:lang w:val="en-US" w:eastAsia="zh-CN"/>
        </w:rPr>
        <w:t>是食品加工中常用的漂白剂和防腐剂，具有漂白、防腐和抗氧化作用。少量二氧化硫进入人体不会对身体健康造成危害，但过量食用会引起如恶心、呕吐等胃肠道反应</w:t>
      </w:r>
      <w:r>
        <w:rPr>
          <w:rFonts w:hint="eastAsia" w:ascii="仿宋_GB2312" w:hAnsi="黑体" w:eastAsia="仿宋_GB2312"/>
          <w:color w:val="auto"/>
          <w:sz w:val="32"/>
          <w:szCs w:val="32"/>
          <w:lang w:val="en-US" w:eastAsia="zh-CN"/>
        </w:rPr>
        <w:t>。</w:t>
      </w:r>
      <w:r>
        <w:rPr>
          <w:rFonts w:hint="default" w:ascii="仿宋_GB2312" w:hAnsi="黑体" w:eastAsia="仿宋_GB2312"/>
          <w:color w:val="auto"/>
          <w:sz w:val="32"/>
          <w:szCs w:val="32"/>
          <w:lang w:val="en-US" w:eastAsia="zh-CN"/>
        </w:rPr>
        <w:t>《食品安全国家标准 食品添加剂使用标准》（GB 2760—2014）中规定，二氧化硫（以二氧化硫残留量计）在</w:t>
      </w:r>
      <w:r>
        <w:rPr>
          <w:rFonts w:hint="default" w:ascii="仿宋_GB2312" w:hAnsi="黑体" w:eastAsia="仿宋_GB2312"/>
          <w:color w:val="auto"/>
          <w:sz w:val="32"/>
          <w:szCs w:val="32"/>
          <w:lang w:val="en-US" w:eastAsia="zh-CN"/>
        </w:rPr>
        <w:t>香辛料类</w:t>
      </w:r>
      <w:r>
        <w:rPr>
          <w:rFonts w:hint="default" w:ascii="仿宋_GB2312" w:hAnsi="黑体" w:eastAsia="仿宋_GB2312"/>
          <w:color w:val="auto"/>
          <w:sz w:val="32"/>
          <w:szCs w:val="32"/>
          <w:lang w:val="en-US" w:eastAsia="zh-CN"/>
        </w:rPr>
        <w:t>中</w:t>
      </w:r>
      <w:r>
        <w:rPr>
          <w:rFonts w:hint="eastAsia" w:ascii="仿宋_GB2312" w:hAnsi="黑体" w:eastAsia="仿宋_GB2312"/>
          <w:color w:val="auto"/>
          <w:sz w:val="32"/>
          <w:szCs w:val="32"/>
          <w:lang w:val="en-US" w:eastAsia="zh-CN"/>
        </w:rPr>
        <w:t>禁止使用</w:t>
      </w:r>
      <w:r>
        <w:rPr>
          <w:rFonts w:hint="default" w:ascii="仿宋_GB2312" w:hAnsi="黑体" w:eastAsia="仿宋_GB2312"/>
          <w:color w:val="auto"/>
          <w:sz w:val="32"/>
          <w:szCs w:val="32"/>
          <w:lang w:val="en-US" w:eastAsia="zh-CN"/>
        </w:rPr>
        <w:t>。</w:t>
      </w:r>
      <w:r>
        <w:rPr>
          <w:rFonts w:hint="eastAsia" w:ascii="仿宋_GB2312" w:hAnsi="黑体" w:eastAsia="仿宋_GB2312"/>
          <w:color w:val="auto"/>
          <w:sz w:val="32"/>
          <w:szCs w:val="32"/>
          <w:lang w:val="en-US" w:eastAsia="zh-CN"/>
        </w:rPr>
        <w:t>白芷（</w:t>
      </w:r>
      <w:r>
        <w:rPr>
          <w:rFonts w:hint="default" w:ascii="仿宋_GB2312" w:hAnsi="黑体" w:eastAsia="仿宋_GB2312"/>
          <w:color w:val="auto"/>
          <w:sz w:val="32"/>
          <w:szCs w:val="32"/>
          <w:lang w:val="en-US" w:eastAsia="zh-CN"/>
        </w:rPr>
        <w:t>香辛料类</w:t>
      </w:r>
      <w:r>
        <w:rPr>
          <w:rFonts w:hint="eastAsia" w:ascii="仿宋_GB2312" w:hAnsi="黑体" w:eastAsia="仿宋_GB2312"/>
          <w:color w:val="auto"/>
          <w:sz w:val="32"/>
          <w:szCs w:val="32"/>
          <w:lang w:val="en-US" w:eastAsia="zh-CN"/>
        </w:rPr>
        <w:t>）</w:t>
      </w:r>
      <w:r>
        <w:rPr>
          <w:rFonts w:hint="default" w:ascii="仿宋_GB2312" w:hAnsi="黑体" w:eastAsia="仿宋_GB2312"/>
          <w:color w:val="auto"/>
          <w:sz w:val="32"/>
          <w:szCs w:val="32"/>
          <w:lang w:val="en-US" w:eastAsia="zh-CN"/>
        </w:rPr>
        <w:t>中</w:t>
      </w:r>
      <w:r>
        <w:rPr>
          <w:rFonts w:hint="default" w:ascii="仿宋_GB2312" w:hAnsi="黑体" w:eastAsia="仿宋_GB2312"/>
          <w:color w:val="auto"/>
          <w:sz w:val="32"/>
          <w:szCs w:val="32"/>
          <w:lang w:val="en-US" w:eastAsia="zh-CN"/>
        </w:rPr>
        <w:t>二氧化硫残留量</w:t>
      </w:r>
      <w:r>
        <w:rPr>
          <w:rFonts w:hint="eastAsia" w:ascii="仿宋_GB2312" w:hAnsi="黑体" w:eastAsia="仿宋_GB2312"/>
          <w:color w:val="auto"/>
          <w:sz w:val="32"/>
          <w:szCs w:val="32"/>
          <w:lang w:val="en-US" w:eastAsia="zh-CN"/>
        </w:rPr>
        <w:t>检出</w:t>
      </w:r>
      <w:r>
        <w:rPr>
          <w:rFonts w:hint="default" w:ascii="仿宋_GB2312" w:hAnsi="黑体" w:eastAsia="仿宋_GB2312"/>
          <w:color w:val="auto"/>
          <w:sz w:val="32"/>
          <w:szCs w:val="32"/>
          <w:lang w:val="en-US" w:eastAsia="zh-CN"/>
        </w:rPr>
        <w:t>的原因，可能是生产企业使用劣质原料为了提高产品色泽而超量使用二氧化硫，也有可能是使用时不计量或计量不准确，还可能是由于使用硫磺熏蒸漂白这种传统工艺或直接使用亚硫酸盐浸泡所造成。</w:t>
      </w:r>
    </w:p>
    <w:p>
      <w:pPr>
        <w:numPr>
          <w:ilvl w:val="0"/>
          <w:numId w:val="0"/>
        </w:numPr>
        <w:tabs>
          <w:tab w:val="left" w:pos="516"/>
        </w:tabs>
        <w:spacing w:line="560" w:lineRule="exact"/>
        <w:ind w:leftChars="200" w:right="60" w:rightChars="0"/>
        <w:jc w:val="both"/>
        <w:rPr>
          <w:rFonts w:hint="default" w:eastAsia="黑体" w:cs="黑体"/>
          <w:color w:val="auto"/>
          <w:sz w:val="32"/>
          <w:szCs w:val="32"/>
          <w:lang w:val="en-US" w:eastAsia="zh-CN"/>
        </w:rPr>
      </w:pPr>
      <w:r>
        <w:rPr>
          <w:rFonts w:hint="eastAsia" w:eastAsia="黑体" w:cs="黑体"/>
          <w:color w:val="auto"/>
          <w:sz w:val="32"/>
          <w:szCs w:val="32"/>
          <w:lang w:val="en-US" w:eastAsia="zh-CN"/>
        </w:rPr>
        <w:t>九、</w:t>
      </w:r>
      <w:r>
        <w:rPr>
          <w:rFonts w:hint="default" w:eastAsia="黑体" w:cs="黑体"/>
          <w:color w:val="auto"/>
          <w:sz w:val="32"/>
          <w:szCs w:val="32"/>
          <w:lang w:val="en-US" w:eastAsia="zh-CN"/>
        </w:rPr>
        <w:t>大肠菌群</w:t>
      </w:r>
    </w:p>
    <w:p>
      <w:pPr>
        <w:numPr>
          <w:ilvl w:val="0"/>
          <w:numId w:val="0"/>
        </w:numPr>
        <w:tabs>
          <w:tab w:val="left" w:pos="516"/>
        </w:tabs>
        <w:spacing w:line="560" w:lineRule="exact"/>
        <w:ind w:right="60" w:rightChars="0" w:firstLine="600" w:firstLineChars="200"/>
        <w:jc w:val="both"/>
        <w:rPr>
          <w:rFonts w:hint="eastAsia" w:ascii="仿宋_GB2312" w:hAnsi="黑体" w:eastAsia="仿宋_GB2312"/>
          <w:color w:val="auto"/>
          <w:sz w:val="30"/>
          <w:szCs w:val="30"/>
          <w:lang w:val="en-US" w:eastAsia="zh-CN"/>
        </w:rPr>
      </w:pPr>
      <w:r>
        <w:rPr>
          <w:rFonts w:hint="eastAsia" w:ascii="仿宋_GB2312" w:hAnsi="黑体" w:eastAsia="仿宋_GB2312"/>
          <w:color w:val="auto"/>
          <w:sz w:val="30"/>
          <w:szCs w:val="30"/>
          <w:lang w:val="en-US" w:eastAsia="zh-CN"/>
        </w:rPr>
        <w:t>大肠菌群是国内外通用的食品污染常用指示菌之一。食品中检出大肠菌群，提示被致病菌(如沙门氏菌、志贺氏菌、致病性大肠杆菌)污染的可能性较大。本次检出大肠菌群不符合产品明示标准及质量要求，未检出致病菌，结合居民膳食结构、抽检情况等因素综合分析，健康风险较低，但反映该食品卫生状况不达标。大肠菌群超标可能由于产品的加工原料、包装材料受污染，或在生产过程中产品受人员、工器具等生产设备、环境的污染、有灭菌工艺的产品灭菌不彻底而导致。</w:t>
      </w:r>
    </w:p>
    <w:p>
      <w:pPr>
        <w:numPr>
          <w:ilvl w:val="0"/>
          <w:numId w:val="0"/>
        </w:numPr>
        <w:tabs>
          <w:tab w:val="left" w:pos="516"/>
        </w:tabs>
        <w:spacing w:line="560" w:lineRule="exact"/>
        <w:ind w:right="60" w:rightChars="0" w:firstLine="640" w:firstLineChars="200"/>
        <w:jc w:val="both"/>
        <w:rPr>
          <w:rFonts w:hint="eastAsia" w:ascii="仿宋_GB2312" w:hAnsi="黑体" w:eastAsia="仿宋_GB2312"/>
          <w:color w:val="auto"/>
          <w:sz w:val="32"/>
          <w:szCs w:val="32"/>
          <w:lang w:val="en-US" w:eastAsia="zh-CN"/>
        </w:rPr>
      </w:pPr>
      <w:bookmarkStart w:id="0" w:name="_GoBack"/>
      <w:bookmarkEnd w:id="0"/>
    </w:p>
    <w:sectPr>
      <w:pgSz w:w="11906" w:h="16838"/>
      <w:pgMar w:top="1440" w:right="1803" w:bottom="1440" w:left="1803"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2B10EA-CBEC-4A0C-8445-ADFD992AC0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2" w:fontKey="{E39711C5-F486-4A66-BB9A-2A56F235F719}"/>
  </w:font>
  <w:font w:name="仿宋_GB2312">
    <w:altName w:val="仿宋"/>
    <w:panose1 w:val="02010609030101010101"/>
    <w:charset w:val="86"/>
    <w:family w:val="modern"/>
    <w:pitch w:val="default"/>
    <w:sig w:usb0="00000000" w:usb1="00000000" w:usb2="00000000" w:usb3="00000000" w:csb0="00040000" w:csb1="00000000"/>
    <w:embedRegular r:id="rId3" w:fontKey="{F29C0B65-67BB-45E4-9AC7-8149D480FF25}"/>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01532D"/>
    <w:multiLevelType w:val="singleLevel"/>
    <w:tmpl w:val="9101532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NjQzZDg2N2U3YzkzYTZiNzkyNGRmNTk2Y2Q1NmQ0Y2QifQ=="/>
  </w:docVars>
  <w:rsids>
    <w:rsidRoot w:val="00D31D50"/>
    <w:rsid w:val="00166F48"/>
    <w:rsid w:val="00323B43"/>
    <w:rsid w:val="003D37D8"/>
    <w:rsid w:val="00416C95"/>
    <w:rsid w:val="00426133"/>
    <w:rsid w:val="004358AB"/>
    <w:rsid w:val="004D0E3A"/>
    <w:rsid w:val="006522F6"/>
    <w:rsid w:val="00862C1A"/>
    <w:rsid w:val="008B7726"/>
    <w:rsid w:val="00A75782"/>
    <w:rsid w:val="00D20539"/>
    <w:rsid w:val="00D31D50"/>
    <w:rsid w:val="05C4313E"/>
    <w:rsid w:val="07E269D1"/>
    <w:rsid w:val="13B20653"/>
    <w:rsid w:val="15D65DB9"/>
    <w:rsid w:val="17C42E41"/>
    <w:rsid w:val="185153B8"/>
    <w:rsid w:val="19EE7103"/>
    <w:rsid w:val="1EC245E8"/>
    <w:rsid w:val="20A23D15"/>
    <w:rsid w:val="21AD6D40"/>
    <w:rsid w:val="25433975"/>
    <w:rsid w:val="2A005467"/>
    <w:rsid w:val="2D9B0395"/>
    <w:rsid w:val="2E6B76AB"/>
    <w:rsid w:val="2F052F99"/>
    <w:rsid w:val="3793032E"/>
    <w:rsid w:val="37E2030F"/>
    <w:rsid w:val="3DAC67B6"/>
    <w:rsid w:val="467B3EB5"/>
    <w:rsid w:val="4AB0140F"/>
    <w:rsid w:val="4F7D619C"/>
    <w:rsid w:val="54C02CE3"/>
    <w:rsid w:val="59080806"/>
    <w:rsid w:val="5D616655"/>
    <w:rsid w:val="6FD33DD5"/>
    <w:rsid w:val="7047527A"/>
    <w:rsid w:val="726400C6"/>
    <w:rsid w:val="75BC0628"/>
    <w:rsid w:val="76982536"/>
    <w:rsid w:val="79937E74"/>
    <w:rsid w:val="7DEF5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8">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afterLines="0" w:afterAutospacing="0"/>
    </w:pPr>
  </w:style>
  <w:style w:type="paragraph" w:styleId="3">
    <w:name w:val="footer"/>
    <w:basedOn w:val="1"/>
    <w:link w:val="11"/>
    <w:autoRedefine/>
    <w:semiHidden/>
    <w:unhideWhenUsed/>
    <w:qFormat/>
    <w:uiPriority w:val="99"/>
    <w:pPr>
      <w:tabs>
        <w:tab w:val="center" w:pos="4153"/>
        <w:tab w:val="right" w:pos="8306"/>
      </w:tabs>
    </w:pPr>
    <w:rPr>
      <w:sz w:val="18"/>
      <w:szCs w:val="18"/>
    </w:rPr>
  </w:style>
  <w:style w:type="paragraph" w:styleId="4">
    <w:name w:val="header"/>
    <w:basedOn w:val="1"/>
    <w:link w:val="10"/>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toc 2"/>
    <w:basedOn w:val="1"/>
    <w:next w:val="1"/>
    <w:autoRedefine/>
    <w:qFormat/>
    <w:uiPriority w:val="0"/>
    <w:pPr>
      <w:ind w:left="420" w:leftChars="200"/>
    </w:pPr>
  </w:style>
  <w:style w:type="paragraph" w:styleId="6">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autoRedefine/>
    <w:qFormat/>
    <w:uiPriority w:val="0"/>
    <w:rPr>
      <w:b/>
    </w:rPr>
  </w:style>
  <w:style w:type="character" w:customStyle="1" w:styleId="10">
    <w:name w:val="页眉 Char"/>
    <w:basedOn w:val="8"/>
    <w:link w:val="4"/>
    <w:autoRedefine/>
    <w:semiHidden/>
    <w:qFormat/>
    <w:uiPriority w:val="99"/>
    <w:rPr>
      <w:rFonts w:ascii="Tahoma" w:hAnsi="Tahoma"/>
      <w:sz w:val="18"/>
      <w:szCs w:val="18"/>
    </w:rPr>
  </w:style>
  <w:style w:type="character" w:customStyle="1" w:styleId="11">
    <w:name w:val="页脚 Char"/>
    <w:basedOn w:val="8"/>
    <w:link w:val="3"/>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801</Words>
  <Characters>848</Characters>
  <Lines>2</Lines>
  <Paragraphs>1</Paragraphs>
  <TotalTime>0</TotalTime>
  <ScaleCrop>false</ScaleCrop>
  <LinksUpToDate>false</LinksUpToDate>
  <CharactersWithSpaces>857</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权宝</cp:lastModifiedBy>
  <cp:lastPrinted>2017-06-22T03:23:00Z</cp:lastPrinted>
  <dcterms:modified xsi:type="dcterms:W3CDTF">2024-08-27T01:05:46Z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F1364F2AF3844F0CAA3FE63BC7908FE2</vt:lpwstr>
  </property>
</Properties>
</file>