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32"/>
          <w:szCs w:val="32"/>
        </w:rPr>
      </w:pPr>
      <w:r>
        <w:rPr>
          <w:rFonts w:hint="eastAsia" w:ascii="黑体" w:hAnsi="黑体" w:eastAsia="黑体" w:cs="黑体"/>
          <w:sz w:val="32"/>
          <w:szCs w:val="32"/>
        </w:rPr>
        <w:t>附件4</w:t>
      </w:r>
    </w:p>
    <w:p>
      <w:pPr>
        <w:keepNext w:val="0"/>
        <w:keepLines w:val="0"/>
        <w:pageBreakBefore w:val="0"/>
        <w:widowControl/>
        <w:kinsoku/>
        <w:wordWrap/>
        <w:overflowPunct/>
        <w:topLinePunct w:val="0"/>
        <w:autoSpaceDE/>
        <w:autoSpaceDN/>
        <w:bidi w:val="0"/>
        <w:adjustRightInd w:val="0"/>
        <w:snapToGrid w:val="0"/>
        <w:spacing w:after="181" w:afterLines="50" w:line="560" w:lineRule="exact"/>
        <w:jc w:val="center"/>
        <w:textAlignment w:val="auto"/>
        <w:rPr>
          <w:rFonts w:ascii="方正小标宋简体" w:eastAsia="方正小标宋简体"/>
          <w:spacing w:val="-12"/>
          <w:szCs w:val="32"/>
        </w:rPr>
      </w:pPr>
      <w:r>
        <w:rPr>
          <w:rFonts w:hint="eastAsia" w:ascii="方正小标宋简体" w:eastAsia="方正小标宋简体" w:cs="方正小标宋简体"/>
          <w:b/>
          <w:bCs/>
          <w:spacing w:val="-12"/>
          <w:sz w:val="44"/>
          <w:szCs w:val="44"/>
        </w:rPr>
        <w:t>关于部分检验项目的说明</w:t>
      </w:r>
    </w:p>
    <w:p>
      <w:pPr>
        <w:spacing w:line="560" w:lineRule="exact"/>
        <w:ind w:firstLine="640" w:firstLineChars="200"/>
        <w:rPr>
          <w:rFonts w:hint="default" w:eastAsia="黑体" w:cs="黑体"/>
          <w:sz w:val="32"/>
          <w:szCs w:val="32"/>
          <w:lang w:val="en-US" w:eastAsia="zh-CN"/>
        </w:rPr>
      </w:pPr>
      <w:r>
        <w:rPr>
          <w:rFonts w:hint="eastAsia" w:eastAsia="黑体" w:cs="黑体"/>
          <w:sz w:val="32"/>
          <w:szCs w:val="32"/>
        </w:rPr>
        <w:t>一</w:t>
      </w:r>
      <w:r>
        <w:rPr>
          <w:rFonts w:hint="eastAsia" w:eastAsia="黑体" w:cs="黑体"/>
          <w:sz w:val="32"/>
          <w:szCs w:val="32"/>
          <w:lang w:val="en-US" w:eastAsia="zh-CN"/>
        </w:rPr>
        <w:t>、噻虫胺</w:t>
      </w:r>
    </w:p>
    <w:p>
      <w:pPr>
        <w:tabs>
          <w:tab w:val="left" w:pos="516"/>
        </w:tabs>
        <w:spacing w:line="560" w:lineRule="exact"/>
        <w:ind w:right="60" w:rightChars="0" w:firstLine="640" w:firstLineChars="200"/>
        <w:jc w:val="both"/>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噻虫胺属新烟碱类杀虫剂，具有内吸性、触杀和胃毒作用，对姜蛆等有较好防效。少量的残留不会引起人体急性中毒，但长期食用噻虫胺超标的食品，对人体健康可能有一定影响。《食品安全国家标准 食品中农药最大残留限量》（GB 2763—2021）中规定，噻虫胺在生辣椒中的最大残留限量值为0.05mg/kg，噻虫胺残留量超标的原因，可能是为快速控制虫害，加大用药量或未遵守采摘间隔期规定，致使上市销售的产品中残留量超标。</w:t>
      </w:r>
    </w:p>
    <w:p>
      <w:pPr>
        <w:spacing w:line="560" w:lineRule="exact"/>
        <w:ind w:firstLine="640" w:firstLineChars="200"/>
        <w:rPr>
          <w:rFonts w:hint="default" w:eastAsia="黑体" w:cs="黑体"/>
          <w:sz w:val="32"/>
          <w:szCs w:val="32"/>
          <w:lang w:val="en-US" w:eastAsia="zh-CN"/>
        </w:rPr>
      </w:pPr>
      <w:r>
        <w:rPr>
          <w:rFonts w:hint="eastAsia" w:eastAsia="黑体" w:cs="黑体"/>
          <w:sz w:val="32"/>
          <w:szCs w:val="32"/>
          <w:lang w:val="en-US" w:eastAsia="zh-CN"/>
        </w:rPr>
        <w:t>二、阴离子合成洗涤剂</w:t>
      </w:r>
    </w:p>
    <w:p>
      <w:pPr>
        <w:keepNext w:val="0"/>
        <w:keepLines w:val="0"/>
        <w:pageBreakBefore w:val="0"/>
        <w:widowControl/>
        <w:kinsoku/>
        <w:wordWrap/>
        <w:overflowPunct/>
        <w:topLinePunct w:val="0"/>
        <w:autoSpaceDE/>
        <w:autoSpaceDN/>
        <w:bidi w:val="0"/>
        <w:adjustRightInd w:val="0"/>
        <w:snapToGrid w:val="0"/>
        <w:spacing w:after="0" w:line="360" w:lineRule="auto"/>
        <w:ind w:firstLine="640" w:firstLineChars="200"/>
        <w:textAlignment w:val="auto"/>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阴离子合成洗涤剂，即我们日常生活中经常用到的洗衣粉、洗洁精、洗衣液、肥皂等洗涤剂的主要成分，其主要成分十二烷基磺酸钠，是一种低毒物质,因其使用方便、易溶解、稳定性好、成本低等优点，在消毒企业中广泛使用，但是如果餐（饮）具清洗消毒流程控制不当，会造成洗涤剂在餐（饮）具上的残留，对人体健康产生不良影响。因此，作为一种非食用的合成化学物质，应控制人体的摄入。《食品安全国家标准 消毒餐（饮）具》（GB 14934-2016）规定，采用化学消毒法的餐（饮）具的阴离子合成洗涤剂应不得检出。餐（饮）具中检出阴离子合成洗涤剂，可能是部分单位使用的洗涤剂不合格或使用量过大，未经足够量清水冲洗或餐具漂洗池内清洗用水重复使用或餐具数量多，造成交叉污染，进而残存在餐（饮）具中。</w:t>
      </w:r>
    </w:p>
    <w:p>
      <w:pPr>
        <w:spacing w:line="560" w:lineRule="exact"/>
        <w:ind w:firstLine="640" w:firstLineChars="200"/>
        <w:rPr>
          <w:rFonts w:hint="default" w:eastAsia="黑体" w:cs="黑体"/>
          <w:sz w:val="32"/>
          <w:szCs w:val="32"/>
          <w:lang w:val="en-US" w:eastAsia="zh-CN"/>
        </w:rPr>
      </w:pPr>
      <w:r>
        <w:rPr>
          <w:rFonts w:hint="eastAsia" w:eastAsia="黑体" w:cs="黑体"/>
          <w:sz w:val="32"/>
          <w:szCs w:val="32"/>
          <w:lang w:val="en-US" w:eastAsia="zh-CN"/>
        </w:rPr>
        <w:t>三、氯氟氰菊酯和高效氯氟氰菊酯</w:t>
      </w:r>
    </w:p>
    <w:p>
      <w:pPr>
        <w:keepNext w:val="0"/>
        <w:keepLines w:val="0"/>
        <w:pageBreakBefore w:val="0"/>
        <w:widowControl/>
        <w:kinsoku/>
        <w:wordWrap/>
        <w:overflowPunct/>
        <w:topLinePunct w:val="0"/>
        <w:autoSpaceDE/>
        <w:autoSpaceDN/>
        <w:bidi w:val="0"/>
        <w:adjustRightInd w:val="0"/>
        <w:snapToGrid w:val="0"/>
        <w:spacing w:after="0" w:line="360" w:lineRule="auto"/>
        <w:ind w:firstLine="640" w:firstLineChars="200"/>
        <w:textAlignment w:val="auto"/>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氯氟氰菊酯和高效氯氟氰菊酯可有效防治棉花、果树、蔬菜、大豆等作物上的多种害虫，也能防治动物体上的寄生虫，具有广谱、高效、快速等特性。食用氯氰菊酯和高效氯氰菊酯超标的食品，可能引起头痛、头昏、恶心、呕吐等症状。《食品安全国家标准 食品中农药最大残留限量》（GB 2763-2021）中规定，氯氟氰菊酯和高效氯氟氰菊酯在荔枝中的最大残留限量为0.1mg/kg。</w:t>
      </w:r>
    </w:p>
    <w:p>
      <w:pPr>
        <w:spacing w:line="560" w:lineRule="exact"/>
        <w:ind w:firstLine="640" w:firstLineChars="200"/>
        <w:rPr>
          <w:rFonts w:hint="default" w:eastAsia="黑体" w:cs="黑体"/>
          <w:sz w:val="32"/>
          <w:szCs w:val="32"/>
          <w:lang w:val="en-US" w:eastAsia="zh-CN"/>
        </w:rPr>
      </w:pPr>
      <w:r>
        <w:rPr>
          <w:rFonts w:hint="eastAsia" w:eastAsia="黑体" w:cs="黑体"/>
          <w:sz w:val="32"/>
          <w:szCs w:val="32"/>
          <w:lang w:val="en-US" w:eastAsia="zh-CN"/>
        </w:rPr>
        <w:t>四、铝的残留量</w:t>
      </w:r>
    </w:p>
    <w:p>
      <w:pPr>
        <w:keepNext w:val="0"/>
        <w:keepLines w:val="0"/>
        <w:pageBreakBefore w:val="0"/>
        <w:widowControl/>
        <w:kinsoku/>
        <w:wordWrap/>
        <w:overflowPunct/>
        <w:topLinePunct w:val="0"/>
        <w:autoSpaceDE/>
        <w:autoSpaceDN/>
        <w:bidi w:val="0"/>
        <w:adjustRightInd w:val="0"/>
        <w:snapToGrid w:val="0"/>
        <w:spacing w:after="0" w:line="360" w:lineRule="auto"/>
        <w:ind w:firstLine="640" w:firstLineChars="200"/>
        <w:textAlignment w:val="auto"/>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硫酸铝钾（又名钾明矾）、硫酸铝铵（又名铵明矶）是食品加工中常用的膨松剂和稳定剂，使用后会产生铝残留。含铝食品添加剂按标准使用不会对健康造成危害，但长期食用铝超标的食品会导致运动和学习记忆能力下降，影响儿童智力发育。《食品安全国家标准 食品添加剂使用标准》（GB 2760-2014）中规定，即食海蜇中铝的残留量（干样品以Al计）不得大于500mg/kg。</w:t>
      </w:r>
      <w:bookmarkStart w:id="0" w:name="_GoBack"/>
      <w:bookmarkEnd w:id="0"/>
      <w:r>
        <w:rPr>
          <w:rFonts w:hint="eastAsia" w:ascii="仿宋_GB2312" w:hAnsi="黑体" w:eastAsia="仿宋_GB2312"/>
          <w:sz w:val="32"/>
          <w:szCs w:val="32"/>
          <w:lang w:val="en-US" w:eastAsia="zh-CN"/>
        </w:rPr>
        <w:t>铝的残留量（干样品，以Al计）超标的原因，可能是个别企业为增加产品口感，在生产加工过程中违规使用含铝添加剂，或者其使用的复配添加剂中铝含量过高。</w:t>
      </w:r>
    </w:p>
    <w:p>
      <w:pPr>
        <w:pStyle w:val="2"/>
        <w:rPr>
          <w:rFonts w:hint="eastAsia"/>
          <w:lang w:val="en-US" w:eastAsia="zh-CN"/>
        </w:rPr>
      </w:pPr>
    </w:p>
    <w:p>
      <w:pPr>
        <w:keepNext w:val="0"/>
        <w:keepLines w:val="0"/>
        <w:pageBreakBefore w:val="0"/>
        <w:widowControl/>
        <w:kinsoku/>
        <w:wordWrap/>
        <w:overflowPunct/>
        <w:topLinePunct w:val="0"/>
        <w:autoSpaceDE/>
        <w:autoSpaceDN/>
        <w:bidi w:val="0"/>
        <w:adjustRightInd w:val="0"/>
        <w:snapToGrid w:val="0"/>
        <w:spacing w:after="0" w:line="360" w:lineRule="auto"/>
        <w:ind w:firstLine="640" w:firstLineChars="200"/>
        <w:textAlignment w:val="auto"/>
        <w:rPr>
          <w:rFonts w:hint="default" w:ascii="仿宋_GB2312" w:hAnsi="黑体" w:eastAsia="仿宋_GB2312"/>
          <w:sz w:val="32"/>
          <w:szCs w:val="32"/>
          <w:lang w:val="en-US" w:eastAsia="zh-CN"/>
        </w:rPr>
      </w:pPr>
    </w:p>
    <w:sectPr>
      <w:pgSz w:w="11906" w:h="16838"/>
      <w:pgMar w:top="1440" w:right="1080" w:bottom="1440" w:left="108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2"/>
  </w:compat>
  <w:docVars>
    <w:docVar w:name="commondata" w:val="eyJoZGlkIjoiOTQ3NzdhNzVjZGI4NzJmZTVmMWViZGJlM2NiZGQ0YzgifQ=="/>
  </w:docVars>
  <w:rsids>
    <w:rsidRoot w:val="00D31D50"/>
    <w:rsid w:val="00166F48"/>
    <w:rsid w:val="00323B43"/>
    <w:rsid w:val="003D37D8"/>
    <w:rsid w:val="00416C95"/>
    <w:rsid w:val="00426133"/>
    <w:rsid w:val="004358AB"/>
    <w:rsid w:val="004D0E3A"/>
    <w:rsid w:val="006522F6"/>
    <w:rsid w:val="00862C1A"/>
    <w:rsid w:val="008B7726"/>
    <w:rsid w:val="00A75782"/>
    <w:rsid w:val="00D20539"/>
    <w:rsid w:val="00D31D50"/>
    <w:rsid w:val="07E269D1"/>
    <w:rsid w:val="098D0BD9"/>
    <w:rsid w:val="17C42E41"/>
    <w:rsid w:val="184C7CA3"/>
    <w:rsid w:val="185153B8"/>
    <w:rsid w:val="1E356BFB"/>
    <w:rsid w:val="1EC245E8"/>
    <w:rsid w:val="20A23D15"/>
    <w:rsid w:val="21AD6D40"/>
    <w:rsid w:val="25433975"/>
    <w:rsid w:val="28F438BB"/>
    <w:rsid w:val="2DF601FB"/>
    <w:rsid w:val="2F052F99"/>
    <w:rsid w:val="42F66C1B"/>
    <w:rsid w:val="4AB0140F"/>
    <w:rsid w:val="59080806"/>
    <w:rsid w:val="5D616655"/>
    <w:rsid w:val="658807DE"/>
    <w:rsid w:val="7047527A"/>
    <w:rsid w:val="726400C6"/>
    <w:rsid w:val="76982536"/>
    <w:rsid w:val="77707F7F"/>
    <w:rsid w:val="777C7256"/>
    <w:rsid w:val="7DEF5D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styleId="3">
    <w:name w:val="toc 2"/>
    <w:basedOn w:val="1"/>
    <w:next w:val="1"/>
    <w:qFormat/>
    <w:uiPriority w:val="0"/>
    <w:pPr>
      <w:ind w:left="420" w:leftChars="200"/>
    </w:pPr>
  </w:style>
  <w:style w:type="paragraph" w:styleId="4">
    <w:name w:val="footer"/>
    <w:basedOn w:val="1"/>
    <w:link w:val="10"/>
    <w:autoRedefine/>
    <w:semiHidden/>
    <w:unhideWhenUsed/>
    <w:qFormat/>
    <w:uiPriority w:val="99"/>
    <w:pPr>
      <w:tabs>
        <w:tab w:val="center" w:pos="4153"/>
        <w:tab w:val="right" w:pos="8306"/>
      </w:tabs>
    </w:pPr>
    <w:rPr>
      <w:sz w:val="18"/>
      <w:szCs w:val="18"/>
    </w:rPr>
  </w:style>
  <w:style w:type="paragraph" w:styleId="5">
    <w:name w:val="header"/>
    <w:basedOn w:val="1"/>
    <w:link w:val="9"/>
    <w:autoRedefine/>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customStyle="1" w:styleId="9">
    <w:name w:val="页眉 Char"/>
    <w:basedOn w:val="8"/>
    <w:link w:val="5"/>
    <w:autoRedefine/>
    <w:semiHidden/>
    <w:qFormat/>
    <w:uiPriority w:val="99"/>
    <w:rPr>
      <w:rFonts w:ascii="Tahoma" w:hAnsi="Tahoma"/>
      <w:sz w:val="18"/>
      <w:szCs w:val="18"/>
    </w:rPr>
  </w:style>
  <w:style w:type="character" w:customStyle="1" w:styleId="10">
    <w:name w:val="页脚 Char"/>
    <w:basedOn w:val="8"/>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419</Words>
  <Characters>457</Characters>
  <Lines>2</Lines>
  <Paragraphs>1</Paragraphs>
  <TotalTime>0</TotalTime>
  <ScaleCrop>false</ScaleCrop>
  <LinksUpToDate>false</LinksUpToDate>
  <CharactersWithSpaces>461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*^_^*</cp:lastModifiedBy>
  <cp:lastPrinted>2017-06-22T03:23:00Z</cp:lastPrinted>
  <dcterms:modified xsi:type="dcterms:W3CDTF">2024-07-11T02:56:32Z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F1364F2AF3844F0CAA3FE63BC7908FE2</vt:lpwstr>
  </property>
</Properties>
</file>