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442ADC">
      <w:pPr>
        <w:adjustRightInd w:val="0"/>
        <w:spacing w:line="480" w:lineRule="auto"/>
        <w:jc w:val="center"/>
        <w:rPr>
          <w:rFonts w:eastAsia="黑体"/>
          <w:sz w:val="32"/>
        </w:rPr>
      </w:pPr>
      <w:r>
        <w:rPr>
          <w:rFonts w:hint="eastAsia" w:eastAsia="黑体"/>
          <w:sz w:val="32"/>
        </w:rPr>
        <w:t>202</w:t>
      </w:r>
      <w:r>
        <w:rPr>
          <w:rFonts w:eastAsia="黑体"/>
          <w:sz w:val="32"/>
        </w:rPr>
        <w:t>4</w:t>
      </w:r>
      <w:r>
        <w:rPr>
          <w:rFonts w:hint="eastAsia" w:eastAsia="黑体"/>
          <w:sz w:val="32"/>
        </w:rPr>
        <w:t>年1-</w:t>
      </w:r>
      <w:r>
        <w:rPr>
          <w:rFonts w:hint="eastAsia" w:eastAsia="黑体"/>
          <w:sz w:val="32"/>
          <w:lang w:val="en-US" w:eastAsia="zh-CN"/>
        </w:rPr>
        <w:t>10</w:t>
      </w:r>
      <w:r>
        <w:rPr>
          <w:rFonts w:hint="eastAsia" w:eastAsia="黑体"/>
          <w:sz w:val="32"/>
        </w:rPr>
        <w:t>月碑林区主要经济指标完成情况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5"/>
        <w:gridCol w:w="1696"/>
        <w:gridCol w:w="2036"/>
      </w:tblGrid>
      <w:tr w14:paraId="1C6E7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2991" w:type="pct"/>
            <w:tcBorders>
              <w:left w:val="nil"/>
            </w:tcBorders>
          </w:tcPr>
          <w:p w14:paraId="1B03BE2C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指标名称</w:t>
            </w:r>
          </w:p>
        </w:tc>
        <w:tc>
          <w:tcPr>
            <w:tcW w:w="913" w:type="pct"/>
          </w:tcPr>
          <w:p w14:paraId="11AFC0E2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累计</w:t>
            </w:r>
          </w:p>
        </w:tc>
        <w:tc>
          <w:tcPr>
            <w:tcW w:w="1096" w:type="pct"/>
            <w:tcBorders>
              <w:right w:val="nil"/>
            </w:tcBorders>
          </w:tcPr>
          <w:p w14:paraId="4532DE1A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同比增长(%)</w:t>
            </w:r>
          </w:p>
        </w:tc>
      </w:tr>
      <w:tr w14:paraId="56489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35D42F23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一、地区生产总值（亿元）</w:t>
            </w:r>
          </w:p>
        </w:tc>
        <w:tc>
          <w:tcPr>
            <w:tcW w:w="913" w:type="pct"/>
            <w:vAlign w:val="center"/>
          </w:tcPr>
          <w:p w14:paraId="5FAE9D6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25BA4C6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168DD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69CAEEB9">
            <w:pPr>
              <w:adjustRightInd w:val="0"/>
              <w:spacing w:line="48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其中：第二产业增加值（亿元）</w:t>
            </w:r>
          </w:p>
        </w:tc>
        <w:tc>
          <w:tcPr>
            <w:tcW w:w="913" w:type="pct"/>
            <w:vAlign w:val="center"/>
          </w:tcPr>
          <w:p w14:paraId="6C5CE94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26EA777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2AF7C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626421CA">
            <w:pPr>
              <w:adjustRightInd w:val="0"/>
              <w:spacing w:line="480" w:lineRule="auto"/>
              <w:ind w:firstLine="1200" w:firstLineChars="500"/>
              <w:rPr>
                <w:sz w:val="24"/>
              </w:rPr>
            </w:pPr>
            <w:r>
              <w:rPr>
                <w:rFonts w:hint="eastAsia"/>
                <w:sz w:val="24"/>
              </w:rPr>
              <w:t>第三产业增加值（亿元）</w:t>
            </w:r>
          </w:p>
        </w:tc>
        <w:tc>
          <w:tcPr>
            <w:tcW w:w="913" w:type="pct"/>
            <w:vAlign w:val="center"/>
          </w:tcPr>
          <w:p w14:paraId="25573D8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781E3BD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60E6D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3A66AAFB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二、规模以上工业增加值（亿元）</w:t>
            </w:r>
          </w:p>
        </w:tc>
        <w:tc>
          <w:tcPr>
            <w:tcW w:w="913" w:type="pct"/>
            <w:vAlign w:val="center"/>
          </w:tcPr>
          <w:p w14:paraId="7872BAE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—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486A7FD2"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-5.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9</w:t>
            </w:r>
          </w:p>
        </w:tc>
      </w:tr>
      <w:tr w14:paraId="17B56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61120785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三、固定资产投资额（亿元）</w:t>
            </w:r>
          </w:p>
        </w:tc>
        <w:tc>
          <w:tcPr>
            <w:tcW w:w="913" w:type="pct"/>
            <w:vAlign w:val="center"/>
          </w:tcPr>
          <w:p w14:paraId="1903765B">
            <w:pPr>
              <w:adjustRightInd w:val="0"/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—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6CC9175B">
            <w:pPr>
              <w:adjustRightInd w:val="0"/>
              <w:spacing w:line="480" w:lineRule="auto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64.7</w:t>
            </w:r>
          </w:p>
        </w:tc>
      </w:tr>
      <w:tr w14:paraId="454BA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1417B52D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四、社会消费品零售总额（亿元）</w:t>
            </w:r>
          </w:p>
        </w:tc>
        <w:tc>
          <w:tcPr>
            <w:tcW w:w="913" w:type="pct"/>
            <w:vAlign w:val="center"/>
          </w:tcPr>
          <w:p w14:paraId="29A3100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79D0EA4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6B7EA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0BF1534B">
            <w:pPr>
              <w:adjustRightInd w:val="0"/>
              <w:spacing w:line="48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其中：限额以上消费品零售额（亿元）</w:t>
            </w:r>
          </w:p>
        </w:tc>
        <w:tc>
          <w:tcPr>
            <w:tcW w:w="913" w:type="pct"/>
            <w:vAlign w:val="center"/>
          </w:tcPr>
          <w:p w14:paraId="0FA99144"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ascii="宋体" w:hAnsi="宋体"/>
                <w:sz w:val="24"/>
              </w:rPr>
              <w:t>1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69.30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54056AA3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/>
                <w:sz w:val="24"/>
              </w:rPr>
              <w:t>-5.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8</w:t>
            </w:r>
          </w:p>
        </w:tc>
      </w:tr>
      <w:tr w14:paraId="7A5AC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91" w:type="pct"/>
            <w:tcBorders>
              <w:left w:val="nil"/>
            </w:tcBorders>
          </w:tcPr>
          <w:p w14:paraId="0FE9E653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五、城镇居民人均可支配收入（元）</w:t>
            </w:r>
          </w:p>
        </w:tc>
        <w:tc>
          <w:tcPr>
            <w:tcW w:w="913" w:type="pct"/>
            <w:vAlign w:val="center"/>
          </w:tcPr>
          <w:p w14:paraId="4AF896E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2B1C4B7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 w14:paraId="7706F618">
      <w:pPr>
        <w:adjustRightInd w:val="0"/>
        <w:ind w:firstLine="210" w:firstLineChars="100"/>
        <w:jc w:val="left"/>
      </w:pPr>
    </w:p>
    <w:p w14:paraId="1E47BF64">
      <w:pPr>
        <w:adjustRightInd w:val="0"/>
        <w:ind w:firstLine="210" w:firstLineChars="100"/>
        <w:jc w:val="left"/>
      </w:pPr>
      <w:r>
        <w:rPr>
          <w:rFonts w:hint="eastAsia"/>
        </w:rPr>
        <w:t>注：地区生产总值、社会消费品零售总额和城镇居民人均可支配收入均为季度数据。</w:t>
      </w:r>
    </w:p>
    <w:p w14:paraId="5D4C3AE8"/>
    <w:p w14:paraId="0896FA0B">
      <w:pPr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【</w:t>
      </w:r>
      <w:r>
        <w:rPr>
          <w:rFonts w:hint="eastAsia" w:ascii="仿宋_GB2312" w:eastAsia="仿宋_GB2312"/>
          <w:b/>
          <w:sz w:val="32"/>
          <w:szCs w:val="32"/>
        </w:rPr>
        <w:t>数据解读</w:t>
      </w:r>
      <w:r>
        <w:rPr>
          <w:rFonts w:hint="eastAsia" w:ascii="宋体" w:hAnsi="宋体"/>
          <w:b/>
          <w:sz w:val="32"/>
          <w:szCs w:val="32"/>
        </w:rPr>
        <w:t>】</w:t>
      </w:r>
    </w:p>
    <w:p w14:paraId="65DE3448">
      <w:pPr>
        <w:spacing w:line="560" w:lineRule="exact"/>
        <w:ind w:firstLine="707" w:firstLineChars="221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一、规模以上工业增加值</w:t>
      </w:r>
    </w:p>
    <w:p w14:paraId="2C3898DD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-</w:t>
      </w:r>
      <w:r>
        <w:rPr>
          <w:rFonts w:hint="eastAsia" w:eastAsia="仿宋_GB2312"/>
          <w:sz w:val="32"/>
          <w:szCs w:val="32"/>
          <w:lang w:val="en-US" w:eastAsia="zh-CN"/>
        </w:rPr>
        <w:t>10</w:t>
      </w:r>
      <w:r>
        <w:rPr>
          <w:rFonts w:hint="eastAsia"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全区规模以上</w:t>
      </w:r>
      <w:r>
        <w:rPr>
          <w:rFonts w:eastAsia="仿宋_GB2312"/>
          <w:sz w:val="32"/>
          <w:szCs w:val="32"/>
        </w:rPr>
        <w:t>工业增加值</w:t>
      </w:r>
      <w:r>
        <w:rPr>
          <w:rFonts w:hint="eastAsia" w:eastAsia="仿宋_GB2312"/>
          <w:sz w:val="32"/>
          <w:szCs w:val="32"/>
        </w:rPr>
        <w:t>同比下降</w:t>
      </w:r>
      <w:r>
        <w:rPr>
          <w:rFonts w:eastAsia="仿宋_GB2312"/>
          <w:sz w:val="32"/>
          <w:szCs w:val="32"/>
        </w:rPr>
        <w:t>5.</w:t>
      </w: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hint="eastAsia" w:eastAsia="仿宋_GB2312"/>
          <w:sz w:val="32"/>
          <w:szCs w:val="32"/>
        </w:rPr>
        <w:t>%，降幅比1</w:t>
      </w:r>
      <w:r>
        <w:rPr>
          <w:rFonts w:eastAsia="仿宋_GB2312"/>
          <w:sz w:val="32"/>
          <w:szCs w:val="32"/>
        </w:rPr>
        <w:t>-</w:t>
      </w:r>
      <w:r>
        <w:rPr>
          <w:rFonts w:hint="eastAsia" w:eastAsia="仿宋_GB2312"/>
          <w:sz w:val="32"/>
          <w:szCs w:val="32"/>
          <w:lang w:val="en-US" w:eastAsia="zh-CN"/>
        </w:rPr>
        <w:t>9 月加深1</w:t>
      </w:r>
      <w:r>
        <w:rPr>
          <w:rFonts w:eastAsia="仿宋_GB2312"/>
          <w:sz w:val="32"/>
          <w:szCs w:val="32"/>
        </w:rPr>
        <w:t>.3</w:t>
      </w:r>
      <w:r>
        <w:rPr>
          <w:rFonts w:hint="eastAsia" w:eastAsia="仿宋_GB2312"/>
          <w:sz w:val="32"/>
          <w:szCs w:val="32"/>
        </w:rPr>
        <w:t>个</w:t>
      </w:r>
      <w:r>
        <w:rPr>
          <w:rFonts w:eastAsia="仿宋_GB2312"/>
          <w:sz w:val="32"/>
          <w:szCs w:val="32"/>
        </w:rPr>
        <w:t>百分点</w:t>
      </w:r>
      <w:r>
        <w:rPr>
          <w:rFonts w:hint="eastAsia" w:eastAsia="仿宋_GB2312"/>
          <w:sz w:val="32"/>
          <w:szCs w:val="32"/>
        </w:rPr>
        <w:t>。</w:t>
      </w:r>
    </w:p>
    <w:p w14:paraId="12A30625">
      <w:pPr>
        <w:jc w:val="center"/>
        <w:rPr>
          <w:rFonts w:ascii="仿宋_GB2312" w:eastAsia="仿宋_GB2312"/>
          <w:sz w:val="32"/>
          <w:szCs w:val="32"/>
        </w:rPr>
      </w:pPr>
      <w:r>
        <w:drawing>
          <wp:inline distT="0" distB="0" distL="114300" distR="114300">
            <wp:extent cx="5755640" cy="2774950"/>
            <wp:effectExtent l="0" t="0" r="0" b="0"/>
            <wp:docPr id="4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0BA949AB">
      <w:pPr>
        <w:spacing w:line="560" w:lineRule="exact"/>
        <w:ind w:firstLine="627" w:firstLineChars="196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二、固定资产投资</w:t>
      </w:r>
    </w:p>
    <w:p w14:paraId="53FCA251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-</w:t>
      </w:r>
      <w:r>
        <w:rPr>
          <w:rFonts w:hint="eastAsia" w:eastAsia="仿宋_GB2312"/>
          <w:sz w:val="32"/>
          <w:szCs w:val="32"/>
          <w:lang w:val="en-US" w:eastAsia="zh-CN"/>
        </w:rPr>
        <w:t>10</w:t>
      </w:r>
      <w:r>
        <w:rPr>
          <w:rFonts w:hint="eastAsia"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全区</w:t>
      </w:r>
      <w:r>
        <w:rPr>
          <w:rFonts w:eastAsia="仿宋_GB2312"/>
          <w:sz w:val="32"/>
          <w:szCs w:val="32"/>
        </w:rPr>
        <w:t>固定资产投资同比</w:t>
      </w:r>
      <w:r>
        <w:rPr>
          <w:rFonts w:hint="eastAsia" w:eastAsia="仿宋_GB2312"/>
          <w:sz w:val="32"/>
          <w:szCs w:val="32"/>
        </w:rPr>
        <w:t>增长</w:t>
      </w:r>
      <w:r>
        <w:rPr>
          <w:rFonts w:eastAsia="仿宋_GB2312"/>
          <w:sz w:val="32"/>
          <w:szCs w:val="32"/>
        </w:rPr>
        <w:t>6</w:t>
      </w:r>
      <w:r>
        <w:rPr>
          <w:rFonts w:hint="eastAsia" w:eastAsia="仿宋_GB2312"/>
          <w:sz w:val="32"/>
          <w:szCs w:val="32"/>
          <w:lang w:val="en-US" w:eastAsia="zh-CN"/>
        </w:rPr>
        <w:t>4.7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比</w:t>
      </w:r>
      <w:r>
        <w:rPr>
          <w:rFonts w:hint="eastAsia"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-</w:t>
      </w: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hint="eastAsia" w:eastAsia="仿宋_GB2312"/>
          <w:sz w:val="32"/>
          <w:szCs w:val="32"/>
        </w:rPr>
        <w:t>月提升</w:t>
      </w: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8.6</w:t>
      </w:r>
      <w:r>
        <w:rPr>
          <w:rFonts w:hint="eastAsia" w:eastAsia="仿宋_GB2312"/>
          <w:sz w:val="32"/>
          <w:szCs w:val="32"/>
        </w:rPr>
        <w:t>个</w:t>
      </w:r>
      <w:r>
        <w:rPr>
          <w:rFonts w:eastAsia="仿宋_GB2312"/>
          <w:sz w:val="32"/>
          <w:szCs w:val="32"/>
        </w:rPr>
        <w:t>百分点</w:t>
      </w:r>
      <w:r>
        <w:rPr>
          <w:rFonts w:hint="eastAsia" w:eastAsia="仿宋_GB2312"/>
          <w:sz w:val="32"/>
          <w:szCs w:val="32"/>
        </w:rPr>
        <w:t>。其中，民间投资同比增长</w:t>
      </w:r>
      <w:r>
        <w:rPr>
          <w:rFonts w:hint="eastAsia" w:eastAsia="仿宋_GB2312"/>
          <w:sz w:val="32"/>
          <w:szCs w:val="32"/>
          <w:lang w:val="en-US" w:eastAsia="zh-CN"/>
        </w:rPr>
        <w:t>7.8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。</w:t>
      </w:r>
    </w:p>
    <w:p w14:paraId="3EE0F315">
      <w:pPr>
        <w:jc w:val="center"/>
        <w:rPr>
          <w:rFonts w:ascii="仿宋_GB2312" w:hAnsi="仿宋" w:eastAsia="仿宋_GB2312"/>
          <w:sz w:val="32"/>
          <w:szCs w:val="32"/>
        </w:rPr>
      </w:pPr>
      <w:r>
        <w:drawing>
          <wp:inline distT="0" distB="0" distL="114300" distR="114300">
            <wp:extent cx="5755005" cy="3360420"/>
            <wp:effectExtent l="0" t="0" r="0" b="0"/>
            <wp:docPr id="1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052344FB">
      <w:pPr>
        <w:spacing w:line="560" w:lineRule="exact"/>
        <w:ind w:firstLine="627" w:firstLineChars="196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三、限额以上单位消费品零售额</w:t>
      </w:r>
    </w:p>
    <w:p w14:paraId="06DEA757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-</w:t>
      </w:r>
      <w:r>
        <w:rPr>
          <w:rFonts w:hint="eastAsia" w:eastAsia="仿宋_GB2312"/>
          <w:sz w:val="32"/>
          <w:szCs w:val="32"/>
          <w:lang w:val="en-US" w:eastAsia="zh-CN"/>
        </w:rPr>
        <w:t>10</w:t>
      </w:r>
      <w:r>
        <w:rPr>
          <w:rFonts w:hint="eastAsia" w:eastAsia="仿宋_GB2312"/>
          <w:sz w:val="32"/>
          <w:szCs w:val="32"/>
        </w:rPr>
        <w:t>月，全区限额以上单位消费品零售额</w:t>
      </w: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69.30</w:t>
      </w:r>
      <w:r>
        <w:rPr>
          <w:rFonts w:hint="eastAsia" w:eastAsia="仿宋_GB2312"/>
          <w:sz w:val="32"/>
          <w:szCs w:val="32"/>
        </w:rPr>
        <w:t>亿元，同比下降</w:t>
      </w:r>
      <w:r>
        <w:rPr>
          <w:rFonts w:eastAsia="仿宋_GB2312"/>
          <w:sz w:val="32"/>
          <w:szCs w:val="32"/>
        </w:rPr>
        <w:t>5.</w:t>
      </w:r>
      <w:r>
        <w:rPr>
          <w:rFonts w:hint="eastAsia" w:eastAsia="仿宋_GB2312"/>
          <w:sz w:val="32"/>
          <w:szCs w:val="32"/>
          <w:lang w:val="en-US" w:eastAsia="zh-CN"/>
        </w:rPr>
        <w:t>8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，降幅比1</w:t>
      </w:r>
      <w:r>
        <w:rPr>
          <w:rFonts w:eastAsia="仿宋_GB2312"/>
          <w:sz w:val="32"/>
          <w:szCs w:val="32"/>
        </w:rPr>
        <w:t>-</w:t>
      </w: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hint="eastAsia" w:eastAsia="仿宋_GB2312"/>
          <w:sz w:val="32"/>
          <w:szCs w:val="32"/>
        </w:rPr>
        <w:t>月收窄0.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hint="eastAsia" w:eastAsia="仿宋_GB2312"/>
          <w:sz w:val="32"/>
          <w:szCs w:val="32"/>
        </w:rPr>
        <w:t>个</w:t>
      </w:r>
      <w:r>
        <w:rPr>
          <w:rFonts w:eastAsia="仿宋_GB2312"/>
          <w:sz w:val="32"/>
          <w:szCs w:val="32"/>
        </w:rPr>
        <w:t>百分</w:t>
      </w:r>
      <w:r>
        <w:rPr>
          <w:rFonts w:hint="eastAsia" w:eastAsia="仿宋_GB2312"/>
          <w:sz w:val="32"/>
          <w:szCs w:val="32"/>
        </w:rPr>
        <w:t>点。按</w:t>
      </w:r>
      <w:r>
        <w:rPr>
          <w:rFonts w:eastAsia="仿宋_GB2312"/>
          <w:sz w:val="32"/>
          <w:szCs w:val="32"/>
        </w:rPr>
        <w:t>消费形态</w:t>
      </w:r>
      <w:r>
        <w:rPr>
          <w:rFonts w:hint="eastAsia" w:eastAsia="仿宋_GB2312"/>
          <w:sz w:val="32"/>
          <w:szCs w:val="32"/>
        </w:rPr>
        <w:t>分</w:t>
      </w:r>
      <w:r>
        <w:rPr>
          <w:rFonts w:eastAsia="仿宋_GB2312"/>
          <w:sz w:val="32"/>
          <w:szCs w:val="32"/>
        </w:rPr>
        <w:t>，商品零售同比</w:t>
      </w:r>
      <w:r>
        <w:rPr>
          <w:rFonts w:hint="eastAsia" w:eastAsia="仿宋_GB2312"/>
          <w:sz w:val="32"/>
          <w:szCs w:val="32"/>
        </w:rPr>
        <w:t>下降</w:t>
      </w:r>
      <w:r>
        <w:rPr>
          <w:rFonts w:hint="eastAsia" w:eastAsia="仿宋_GB2312"/>
          <w:sz w:val="32"/>
          <w:szCs w:val="32"/>
          <w:lang w:val="en-US" w:eastAsia="zh-CN"/>
        </w:rPr>
        <w:t>6.2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餐饮收入同比</w:t>
      </w:r>
      <w:r>
        <w:rPr>
          <w:rFonts w:hint="eastAsia" w:eastAsia="仿宋_GB2312"/>
          <w:sz w:val="32"/>
          <w:szCs w:val="32"/>
        </w:rPr>
        <w:t>下降</w:t>
      </w:r>
      <w:r>
        <w:rPr>
          <w:rFonts w:hint="eastAsia" w:eastAsia="仿宋_GB2312"/>
          <w:sz w:val="32"/>
          <w:szCs w:val="32"/>
          <w:lang w:val="en-US" w:eastAsia="zh-CN"/>
        </w:rPr>
        <w:t>3.4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。</w:t>
      </w:r>
      <w:bookmarkStart w:id="0" w:name="_GoBack"/>
      <w:bookmarkEnd w:id="0"/>
    </w:p>
    <w:p w14:paraId="7E78ABA8">
      <w:pPr>
        <w:jc w:val="center"/>
        <w:rPr>
          <w:rFonts w:ascii="仿宋_GB2312" w:eastAsia="仿宋_GB2312"/>
          <w:sz w:val="32"/>
          <w:szCs w:val="32"/>
        </w:rPr>
      </w:pPr>
      <w:r>
        <w:drawing>
          <wp:inline distT="0" distB="0" distL="114300" distR="114300">
            <wp:extent cx="5754370" cy="3789045"/>
            <wp:effectExtent l="0" t="0" r="0" b="0"/>
            <wp:docPr id="2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sectPr>
      <w:pgSz w:w="11906" w:h="16838"/>
      <w:pgMar w:top="1985" w:right="1361" w:bottom="170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34742"/>
    <w:rsid w:val="00002B11"/>
    <w:rsid w:val="00011729"/>
    <w:rsid w:val="00011CC9"/>
    <w:rsid w:val="00017003"/>
    <w:rsid w:val="00033A62"/>
    <w:rsid w:val="00047D19"/>
    <w:rsid w:val="00057FCB"/>
    <w:rsid w:val="00062139"/>
    <w:rsid w:val="00073B34"/>
    <w:rsid w:val="00075475"/>
    <w:rsid w:val="0008082E"/>
    <w:rsid w:val="00081123"/>
    <w:rsid w:val="00083DC7"/>
    <w:rsid w:val="00086EF0"/>
    <w:rsid w:val="0009425E"/>
    <w:rsid w:val="000956B2"/>
    <w:rsid w:val="000C2269"/>
    <w:rsid w:val="000D1505"/>
    <w:rsid w:val="000F11D0"/>
    <w:rsid w:val="000F6184"/>
    <w:rsid w:val="00102BB1"/>
    <w:rsid w:val="001146E1"/>
    <w:rsid w:val="00114EEC"/>
    <w:rsid w:val="00134742"/>
    <w:rsid w:val="00145A75"/>
    <w:rsid w:val="0015381D"/>
    <w:rsid w:val="001548D7"/>
    <w:rsid w:val="001606E5"/>
    <w:rsid w:val="00163E98"/>
    <w:rsid w:val="00187F04"/>
    <w:rsid w:val="00195206"/>
    <w:rsid w:val="001A4492"/>
    <w:rsid w:val="001A78E4"/>
    <w:rsid w:val="001B34D2"/>
    <w:rsid w:val="001B6006"/>
    <w:rsid w:val="001C4437"/>
    <w:rsid w:val="001E060A"/>
    <w:rsid w:val="001F119B"/>
    <w:rsid w:val="00221686"/>
    <w:rsid w:val="00224345"/>
    <w:rsid w:val="00245D57"/>
    <w:rsid w:val="002501C9"/>
    <w:rsid w:val="00251C2D"/>
    <w:rsid w:val="00264A29"/>
    <w:rsid w:val="00265AB8"/>
    <w:rsid w:val="0026730C"/>
    <w:rsid w:val="00281A85"/>
    <w:rsid w:val="00282A1C"/>
    <w:rsid w:val="002847D1"/>
    <w:rsid w:val="002855AA"/>
    <w:rsid w:val="00293DE4"/>
    <w:rsid w:val="002A0F71"/>
    <w:rsid w:val="002A46B7"/>
    <w:rsid w:val="002A7325"/>
    <w:rsid w:val="002D0AE2"/>
    <w:rsid w:val="002F5DA8"/>
    <w:rsid w:val="002F7128"/>
    <w:rsid w:val="00303CDB"/>
    <w:rsid w:val="00316FC8"/>
    <w:rsid w:val="00331AB7"/>
    <w:rsid w:val="00331F8A"/>
    <w:rsid w:val="00341591"/>
    <w:rsid w:val="003558CC"/>
    <w:rsid w:val="003648E1"/>
    <w:rsid w:val="00370F06"/>
    <w:rsid w:val="00373C43"/>
    <w:rsid w:val="003864D1"/>
    <w:rsid w:val="003876B0"/>
    <w:rsid w:val="00395A8D"/>
    <w:rsid w:val="003B415E"/>
    <w:rsid w:val="003C0AEC"/>
    <w:rsid w:val="003D50F4"/>
    <w:rsid w:val="003D65F0"/>
    <w:rsid w:val="003E23D9"/>
    <w:rsid w:val="003F398F"/>
    <w:rsid w:val="00404AAF"/>
    <w:rsid w:val="00414F69"/>
    <w:rsid w:val="00417AFE"/>
    <w:rsid w:val="00447408"/>
    <w:rsid w:val="00456ECA"/>
    <w:rsid w:val="00464C04"/>
    <w:rsid w:val="00471EBB"/>
    <w:rsid w:val="004947B8"/>
    <w:rsid w:val="00494FF6"/>
    <w:rsid w:val="004C01EF"/>
    <w:rsid w:val="004D051D"/>
    <w:rsid w:val="004D2143"/>
    <w:rsid w:val="004D2C99"/>
    <w:rsid w:val="004D6799"/>
    <w:rsid w:val="004D6A92"/>
    <w:rsid w:val="005005A0"/>
    <w:rsid w:val="005066A3"/>
    <w:rsid w:val="005105F9"/>
    <w:rsid w:val="00512799"/>
    <w:rsid w:val="00520B0C"/>
    <w:rsid w:val="0052664B"/>
    <w:rsid w:val="00537631"/>
    <w:rsid w:val="0054484D"/>
    <w:rsid w:val="00550A2C"/>
    <w:rsid w:val="00552201"/>
    <w:rsid w:val="00566E9D"/>
    <w:rsid w:val="00574655"/>
    <w:rsid w:val="00583881"/>
    <w:rsid w:val="0059408D"/>
    <w:rsid w:val="005959F1"/>
    <w:rsid w:val="005968C7"/>
    <w:rsid w:val="005A0C57"/>
    <w:rsid w:val="005A1C62"/>
    <w:rsid w:val="005A405E"/>
    <w:rsid w:val="005B02DD"/>
    <w:rsid w:val="005C26DE"/>
    <w:rsid w:val="005F5B53"/>
    <w:rsid w:val="00603C0D"/>
    <w:rsid w:val="00612F8C"/>
    <w:rsid w:val="006333B7"/>
    <w:rsid w:val="006437FB"/>
    <w:rsid w:val="00646946"/>
    <w:rsid w:val="00653750"/>
    <w:rsid w:val="00656019"/>
    <w:rsid w:val="00664C1A"/>
    <w:rsid w:val="0069091E"/>
    <w:rsid w:val="006B20C5"/>
    <w:rsid w:val="006F0A9A"/>
    <w:rsid w:val="00702784"/>
    <w:rsid w:val="00707735"/>
    <w:rsid w:val="00716BD6"/>
    <w:rsid w:val="00721212"/>
    <w:rsid w:val="007251A3"/>
    <w:rsid w:val="00732246"/>
    <w:rsid w:val="00733259"/>
    <w:rsid w:val="00735F5B"/>
    <w:rsid w:val="00751453"/>
    <w:rsid w:val="0078601A"/>
    <w:rsid w:val="00793595"/>
    <w:rsid w:val="007A6374"/>
    <w:rsid w:val="007B1937"/>
    <w:rsid w:val="007B3434"/>
    <w:rsid w:val="007C7AA4"/>
    <w:rsid w:val="007D31B9"/>
    <w:rsid w:val="007E4BC0"/>
    <w:rsid w:val="007F4D0A"/>
    <w:rsid w:val="00811BFB"/>
    <w:rsid w:val="008251F4"/>
    <w:rsid w:val="0085221F"/>
    <w:rsid w:val="008624D0"/>
    <w:rsid w:val="008646F4"/>
    <w:rsid w:val="00874A39"/>
    <w:rsid w:val="00875127"/>
    <w:rsid w:val="008A5202"/>
    <w:rsid w:val="008B00C4"/>
    <w:rsid w:val="008B2C11"/>
    <w:rsid w:val="008B7FB9"/>
    <w:rsid w:val="008C5B1E"/>
    <w:rsid w:val="008E304B"/>
    <w:rsid w:val="008F11B0"/>
    <w:rsid w:val="008F7B79"/>
    <w:rsid w:val="009004D4"/>
    <w:rsid w:val="009100C4"/>
    <w:rsid w:val="00916A79"/>
    <w:rsid w:val="00922DBE"/>
    <w:rsid w:val="00923709"/>
    <w:rsid w:val="00945C68"/>
    <w:rsid w:val="00946BC8"/>
    <w:rsid w:val="00985CE8"/>
    <w:rsid w:val="009913DF"/>
    <w:rsid w:val="009A193E"/>
    <w:rsid w:val="009A3FE4"/>
    <w:rsid w:val="009A4725"/>
    <w:rsid w:val="009A6819"/>
    <w:rsid w:val="009E0428"/>
    <w:rsid w:val="009E7FE7"/>
    <w:rsid w:val="009F2F26"/>
    <w:rsid w:val="00A06A62"/>
    <w:rsid w:val="00A0794D"/>
    <w:rsid w:val="00A21E34"/>
    <w:rsid w:val="00A33146"/>
    <w:rsid w:val="00A343F2"/>
    <w:rsid w:val="00A46EB3"/>
    <w:rsid w:val="00A57907"/>
    <w:rsid w:val="00A616F2"/>
    <w:rsid w:val="00A85823"/>
    <w:rsid w:val="00A8636B"/>
    <w:rsid w:val="00A97133"/>
    <w:rsid w:val="00AA6866"/>
    <w:rsid w:val="00AB6B68"/>
    <w:rsid w:val="00AC233A"/>
    <w:rsid w:val="00AD7050"/>
    <w:rsid w:val="00AE0C69"/>
    <w:rsid w:val="00AE2C3B"/>
    <w:rsid w:val="00AE7FDB"/>
    <w:rsid w:val="00AF1651"/>
    <w:rsid w:val="00AF185D"/>
    <w:rsid w:val="00AF2F3D"/>
    <w:rsid w:val="00AF6332"/>
    <w:rsid w:val="00B11BEC"/>
    <w:rsid w:val="00B13ADA"/>
    <w:rsid w:val="00B23D49"/>
    <w:rsid w:val="00B2735F"/>
    <w:rsid w:val="00B51BBC"/>
    <w:rsid w:val="00B527BE"/>
    <w:rsid w:val="00B5357C"/>
    <w:rsid w:val="00B66302"/>
    <w:rsid w:val="00B67D4E"/>
    <w:rsid w:val="00B73BD3"/>
    <w:rsid w:val="00B802E0"/>
    <w:rsid w:val="00B97143"/>
    <w:rsid w:val="00BA057F"/>
    <w:rsid w:val="00BB440C"/>
    <w:rsid w:val="00BD0954"/>
    <w:rsid w:val="00BE0060"/>
    <w:rsid w:val="00BE6E0C"/>
    <w:rsid w:val="00BF66BF"/>
    <w:rsid w:val="00C1799D"/>
    <w:rsid w:val="00C31CF4"/>
    <w:rsid w:val="00C64E0C"/>
    <w:rsid w:val="00C709AC"/>
    <w:rsid w:val="00C90A04"/>
    <w:rsid w:val="00C974DC"/>
    <w:rsid w:val="00C97900"/>
    <w:rsid w:val="00CB1417"/>
    <w:rsid w:val="00CB6790"/>
    <w:rsid w:val="00CC0A19"/>
    <w:rsid w:val="00CE33CE"/>
    <w:rsid w:val="00CF0D94"/>
    <w:rsid w:val="00CF38BB"/>
    <w:rsid w:val="00CF3D56"/>
    <w:rsid w:val="00D2156B"/>
    <w:rsid w:val="00D414C9"/>
    <w:rsid w:val="00D63182"/>
    <w:rsid w:val="00D72A87"/>
    <w:rsid w:val="00D739C3"/>
    <w:rsid w:val="00D7607A"/>
    <w:rsid w:val="00D77FA0"/>
    <w:rsid w:val="00D80711"/>
    <w:rsid w:val="00D832B5"/>
    <w:rsid w:val="00DA1ADC"/>
    <w:rsid w:val="00DB2F2A"/>
    <w:rsid w:val="00DB61B1"/>
    <w:rsid w:val="00DD3BAC"/>
    <w:rsid w:val="00E0363F"/>
    <w:rsid w:val="00E119C2"/>
    <w:rsid w:val="00E22D90"/>
    <w:rsid w:val="00E236A9"/>
    <w:rsid w:val="00E264A6"/>
    <w:rsid w:val="00E27696"/>
    <w:rsid w:val="00E30325"/>
    <w:rsid w:val="00E46813"/>
    <w:rsid w:val="00E63045"/>
    <w:rsid w:val="00E773DA"/>
    <w:rsid w:val="00E87334"/>
    <w:rsid w:val="00E90AE7"/>
    <w:rsid w:val="00EB1AC2"/>
    <w:rsid w:val="00EB4BB7"/>
    <w:rsid w:val="00EB7BA3"/>
    <w:rsid w:val="00EE36F2"/>
    <w:rsid w:val="00F11FBC"/>
    <w:rsid w:val="00F12552"/>
    <w:rsid w:val="00F13CF1"/>
    <w:rsid w:val="00F15D69"/>
    <w:rsid w:val="00F21A3E"/>
    <w:rsid w:val="00F36610"/>
    <w:rsid w:val="00F37552"/>
    <w:rsid w:val="00F42B5E"/>
    <w:rsid w:val="00F640CB"/>
    <w:rsid w:val="00F73657"/>
    <w:rsid w:val="00F86CE8"/>
    <w:rsid w:val="00F93A17"/>
    <w:rsid w:val="00FA0093"/>
    <w:rsid w:val="00FA6C76"/>
    <w:rsid w:val="00FB7D48"/>
    <w:rsid w:val="00FD1692"/>
    <w:rsid w:val="00FD7BF5"/>
    <w:rsid w:val="00FE6B90"/>
    <w:rsid w:val="00FF22C5"/>
    <w:rsid w:val="14AA7406"/>
    <w:rsid w:val="2CD80586"/>
    <w:rsid w:val="3A3F6F49"/>
    <w:rsid w:val="3BEF663C"/>
    <w:rsid w:val="4BD02668"/>
    <w:rsid w:val="59350DEE"/>
    <w:rsid w:val="68084AC9"/>
    <w:rsid w:val="68CB0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7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字符"/>
    <w:basedOn w:val="7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日期 字符"/>
    <w:basedOn w:val="7"/>
    <w:link w:val="2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1508;&#31867;&#32593;&#32476;&#21457;&#24067;&#24773;&#20917;\&#23545;&#22806;&#21457;&#24067;&#26376;&#24230;&#25968;&#25454;\2024\202410&#23545;&#22806;&#21457;&#24067;&#29992;&#22270;&#26410;&#26356;&#26032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1508;&#31867;&#32593;&#32476;&#21457;&#24067;&#24773;&#20917;\&#23545;&#22806;&#21457;&#24067;&#26376;&#24230;&#25968;&#25454;\2024\202410&#23545;&#22806;&#21457;&#24067;&#29992;&#22270;&#26410;&#26356;&#26032;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1508;&#31867;&#32593;&#32476;&#21457;&#24067;&#24773;&#20917;\&#23545;&#22806;&#21457;&#24067;&#26376;&#24230;&#25968;&#25454;\2024\202410&#23545;&#22806;&#21457;&#24067;&#29992;&#22270;&#26410;&#26356;&#26032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0" i="0" u="none" strike="noStrike" kern="1200" baseline="0">
                <a:solidFill>
                  <a:schemeClr val="tx1"/>
                </a:solidFill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defRPr>
            </a:pP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2023</a:t>
            </a:r>
            <a:r>
              <a:rPr lang="zh-CN" altLang="en-US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年以来规模以上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工业增加值累计增速（</a:t>
            </a: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%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）</a:t>
            </a:r>
            <a:endParaRPr lang="zh-CN" altLang="zh-CN" sz="1400" b="0">
              <a:effectLst/>
              <a:latin typeface="黑体" panose="02010609060101010101" charset="-122"/>
              <a:ea typeface="黑体" panose="02010609060101010101" charset="-122"/>
              <a:cs typeface="黑体" panose="02010609060101010101" charset="-122"/>
              <a:sym typeface="黑体" panose="02010609060101010101" charset="-122"/>
            </a:endParaRPr>
          </a:p>
        </c:rich>
      </c:tx>
      <c:layout>
        <c:manualLayout>
          <c:xMode val="edge"/>
          <c:yMode val="edge"/>
          <c:x val="0.180494263018535"/>
          <c:y val="0.0251716247139588"/>
        </c:manualLayout>
      </c:layout>
      <c:overlay val="1"/>
    </c:title>
    <c:autoTitleDeleted val="0"/>
    <c:plotArea>
      <c:layout>
        <c:manualLayout>
          <c:layoutTarget val="inner"/>
          <c:xMode val="edge"/>
          <c:yMode val="edge"/>
          <c:x val="0.141887568344101"/>
          <c:y val="0.111563727944412"/>
          <c:w val="0.842318569749443"/>
          <c:h val="0.633259599775462"/>
        </c:manualLayout>
      </c:layout>
      <c:lineChart>
        <c:grouping val="standard"/>
        <c:varyColors val="0"/>
        <c:ser>
          <c:idx val="0"/>
          <c:order val="0"/>
          <c:tx>
            <c:strRef>
              <c:f>[202410对外发布用图未更新.xlsx]工业!$A$2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[202410对外发布用图未更新.xlsx]工业!$B$1:$U$1</c:f>
              <c:strCache>
                <c:ptCount val="20"/>
                <c:pt idx="0">
                  <c:v>2023年1-2月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2024年1-2月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  <c:pt idx="15">
                  <c:v>1-6月</c:v>
                </c:pt>
                <c:pt idx="16">
                  <c:v>1-7月</c:v>
                </c:pt>
                <c:pt idx="17">
                  <c:v>1-8月</c:v>
                </c:pt>
                <c:pt idx="18">
                  <c:v>1-9月</c:v>
                </c:pt>
                <c:pt idx="19">
                  <c:v>1-10月</c:v>
                </c:pt>
              </c:strCache>
            </c:strRef>
          </c:cat>
          <c:val>
            <c:numRef>
              <c:f>[202410对外发布用图未更新.xlsx]工业!$B$2:$U$2</c:f>
              <c:numCache>
                <c:formatCode>0.0_ </c:formatCode>
                <c:ptCount val="20"/>
                <c:pt idx="0">
                  <c:v>14.1</c:v>
                </c:pt>
                <c:pt idx="1">
                  <c:v>19.6</c:v>
                </c:pt>
                <c:pt idx="2">
                  <c:v>11.9</c:v>
                </c:pt>
                <c:pt idx="3">
                  <c:v>6.2</c:v>
                </c:pt>
                <c:pt idx="4">
                  <c:v>10.7</c:v>
                </c:pt>
                <c:pt idx="5">
                  <c:v>10.5</c:v>
                </c:pt>
                <c:pt idx="6">
                  <c:v>9.5</c:v>
                </c:pt>
                <c:pt idx="7">
                  <c:v>7.7</c:v>
                </c:pt>
                <c:pt idx="8">
                  <c:v>12.8</c:v>
                </c:pt>
                <c:pt idx="9">
                  <c:v>13</c:v>
                </c:pt>
                <c:pt idx="10">
                  <c:v>2.6</c:v>
                </c:pt>
                <c:pt idx="11">
                  <c:v>1.5</c:v>
                </c:pt>
                <c:pt idx="12">
                  <c:v>-13.9</c:v>
                </c:pt>
                <c:pt idx="13">
                  <c:v>-16.1</c:v>
                </c:pt>
                <c:pt idx="14">
                  <c:v>-14.1</c:v>
                </c:pt>
                <c:pt idx="15">
                  <c:v>-9.9</c:v>
                </c:pt>
                <c:pt idx="16">
                  <c:v>-8</c:v>
                </c:pt>
                <c:pt idx="17">
                  <c:v>-5.7</c:v>
                </c:pt>
                <c:pt idx="18">
                  <c:v>-4.6</c:v>
                </c:pt>
                <c:pt idx="19">
                  <c:v>-5.9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8628864"/>
        <c:axId val="518630400"/>
      </c:lineChart>
      <c:catAx>
        <c:axId val="518628864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18630400"/>
        <c:crosses val="autoZero"/>
        <c:auto val="1"/>
        <c:lblAlgn val="ctr"/>
        <c:lblOffset val="100"/>
        <c:noMultiLvlLbl val="0"/>
      </c:catAx>
      <c:valAx>
        <c:axId val="518630400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18628864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  <c:extLst>
      <c:ext uri="{0b15fc19-7d7d-44ad-8c2d-2c3a37ce22c3}">
        <chartProps xmlns="https://web.wps.cn/et/2018/main" chartId="{a224b39a-38fd-42a8-ae83-a45b2138be00}"/>
      </c:ext>
    </c:extLst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 sz="900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defRPr>
            </a:pP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2023</a:t>
            </a:r>
            <a:r>
              <a:rPr lang="zh-CN" altLang="en-US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年以来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固定资产投资累计增速（</a:t>
            </a: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%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）</a:t>
            </a:r>
            <a:endParaRPr lang="zh-CN" altLang="zh-CN" sz="1400" b="0">
              <a:effectLst/>
              <a:latin typeface="黑体" panose="02010609060101010101" charset="-122"/>
              <a:ea typeface="黑体" panose="02010609060101010101" charset="-122"/>
              <a:cs typeface="黑体" panose="02010609060101010101" charset="-122"/>
              <a:sym typeface="黑体" panose="02010609060101010101" charset="-122"/>
            </a:endParaRPr>
          </a:p>
        </c:rich>
      </c:tx>
      <c:layout/>
      <c:overlay val="1"/>
    </c:title>
    <c:autoTitleDeleted val="0"/>
    <c:plotArea>
      <c:layout>
        <c:manualLayout>
          <c:layoutTarget val="inner"/>
          <c:xMode val="edge"/>
          <c:yMode val="edge"/>
          <c:x val="0.142522891347107"/>
          <c:y val="0.132412469888985"/>
          <c:w val="0.854066877053614"/>
          <c:h val="0.634646579582177"/>
        </c:manualLayout>
      </c:layout>
      <c:lineChart>
        <c:grouping val="standard"/>
        <c:varyColors val="0"/>
        <c:ser>
          <c:idx val="0"/>
          <c:order val="0"/>
          <c:tx>
            <c:strRef>
              <c:f>[202410对外发布用图未更新.xlsx]固投!$A$2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[202410对外发布用图未更新.xlsx]固投!$B$1:$U$1</c:f>
              <c:strCache>
                <c:ptCount val="20"/>
                <c:pt idx="0">
                  <c:v>2023年1-2月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2024年1-2月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  <c:pt idx="15">
                  <c:v>1-6月</c:v>
                </c:pt>
                <c:pt idx="16">
                  <c:v>1-7月</c:v>
                </c:pt>
                <c:pt idx="17">
                  <c:v>1-8月</c:v>
                </c:pt>
                <c:pt idx="18">
                  <c:v>1-9月</c:v>
                </c:pt>
                <c:pt idx="19">
                  <c:v>1-10月</c:v>
                </c:pt>
              </c:strCache>
            </c:strRef>
          </c:cat>
          <c:val>
            <c:numRef>
              <c:f>[202410对外发布用图未更新.xlsx]固投!$B$2:$U$2</c:f>
              <c:numCache>
                <c:formatCode>0.0_ </c:formatCode>
                <c:ptCount val="20"/>
                <c:pt idx="0">
                  <c:v>17.2</c:v>
                </c:pt>
                <c:pt idx="1">
                  <c:v>-9.7</c:v>
                </c:pt>
                <c:pt idx="2">
                  <c:v>-8.9</c:v>
                </c:pt>
                <c:pt idx="3">
                  <c:v>-16.3</c:v>
                </c:pt>
                <c:pt idx="4">
                  <c:v>-36.7</c:v>
                </c:pt>
                <c:pt idx="5">
                  <c:v>-38.1</c:v>
                </c:pt>
                <c:pt idx="6">
                  <c:v>-44.4</c:v>
                </c:pt>
                <c:pt idx="7">
                  <c:v>-23.9</c:v>
                </c:pt>
                <c:pt idx="8">
                  <c:v>-34.2</c:v>
                </c:pt>
                <c:pt idx="9">
                  <c:v>-34.3</c:v>
                </c:pt>
                <c:pt idx="10">
                  <c:v>-35.5</c:v>
                </c:pt>
                <c:pt idx="11">
                  <c:v>5.1</c:v>
                </c:pt>
                <c:pt idx="12">
                  <c:v>22.6</c:v>
                </c:pt>
                <c:pt idx="13">
                  <c:v>38.1</c:v>
                </c:pt>
                <c:pt idx="14">
                  <c:v>11.7</c:v>
                </c:pt>
                <c:pt idx="15">
                  <c:v>46.2</c:v>
                </c:pt>
                <c:pt idx="16">
                  <c:v>50.2</c:v>
                </c:pt>
                <c:pt idx="17">
                  <c:v>60.9</c:v>
                </c:pt>
                <c:pt idx="18">
                  <c:v>46.1</c:v>
                </c:pt>
                <c:pt idx="19">
                  <c:v>64.7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40695168"/>
        <c:axId val="240696704"/>
      </c:lineChart>
      <c:catAx>
        <c:axId val="24069516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40696704"/>
        <c:crosses val="autoZero"/>
        <c:auto val="1"/>
        <c:lblAlgn val="ctr"/>
        <c:lblOffset val="100"/>
        <c:noMultiLvlLbl val="0"/>
      </c:catAx>
      <c:valAx>
        <c:axId val="240696704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40695168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  <c:extLst>
      <c:ext uri="{0b15fc19-7d7d-44ad-8c2d-2c3a37ce22c3}">
        <chartProps xmlns="https://web.wps.cn/et/2018/main" chartId="{82067a21-ae2a-4441-90ab-d5ed7f633d7c}"/>
      </c:ext>
    </c:extLst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defRPr>
            </a:pP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2023</a:t>
            </a:r>
            <a:r>
              <a:rPr lang="zh-CN" altLang="en-US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年以来限额以上单位消费品零售额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累计增速（</a:t>
            </a: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%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）</a:t>
            </a:r>
            <a:endParaRPr lang="zh-CN" altLang="zh-CN" sz="1400" b="0">
              <a:effectLst/>
              <a:latin typeface="黑体" panose="02010609060101010101" charset="-122"/>
              <a:ea typeface="黑体" panose="02010609060101010101" charset="-122"/>
              <a:cs typeface="黑体" panose="02010609060101010101" charset="-122"/>
              <a:sym typeface="黑体" panose="02010609060101010101" charset="-122"/>
            </a:endParaRPr>
          </a:p>
        </c:rich>
      </c:tx>
      <c:layout/>
      <c:overlay val="1"/>
    </c:title>
    <c:autoTitleDeleted val="0"/>
    <c:plotArea>
      <c:layout>
        <c:manualLayout>
          <c:layoutTarget val="inner"/>
          <c:xMode val="edge"/>
          <c:yMode val="edge"/>
          <c:x val="0.144636606522839"/>
          <c:y val="0.132412469888985"/>
          <c:w val="0.838466312787135"/>
          <c:h val="0.66905937256596"/>
        </c:manualLayout>
      </c:layout>
      <c:lineChart>
        <c:grouping val="standard"/>
        <c:varyColors val="0"/>
        <c:ser>
          <c:idx val="0"/>
          <c:order val="0"/>
          <c:tx>
            <c:strRef>
              <c:f>[202410对外发布用图未更新.xlsx]限上消费品零售!$A$2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[202410对外发布用图未更新.xlsx]限上消费品零售!$B$1:$U$1</c:f>
              <c:strCache>
                <c:ptCount val="20"/>
                <c:pt idx="0">
                  <c:v>2023年1-2月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2024年1-2月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  <c:pt idx="15">
                  <c:v>1-6月</c:v>
                </c:pt>
                <c:pt idx="16">
                  <c:v>1-7月</c:v>
                </c:pt>
                <c:pt idx="17">
                  <c:v>1-8月</c:v>
                </c:pt>
                <c:pt idx="18">
                  <c:v>1-9月</c:v>
                </c:pt>
                <c:pt idx="19">
                  <c:v>1-10月</c:v>
                </c:pt>
              </c:strCache>
            </c:strRef>
          </c:cat>
          <c:val>
            <c:numRef>
              <c:f>[202410对外发布用图未更新.xlsx]限上消费品零售!$B$2:$U$2</c:f>
              <c:numCache>
                <c:formatCode>0.0_ </c:formatCode>
                <c:ptCount val="20"/>
                <c:pt idx="0">
                  <c:v>33.9</c:v>
                </c:pt>
                <c:pt idx="1">
                  <c:v>27.6</c:v>
                </c:pt>
                <c:pt idx="2">
                  <c:v>23.4</c:v>
                </c:pt>
                <c:pt idx="3">
                  <c:v>15.8</c:v>
                </c:pt>
                <c:pt idx="4">
                  <c:v>11.5</c:v>
                </c:pt>
                <c:pt idx="5">
                  <c:v>9.3</c:v>
                </c:pt>
                <c:pt idx="6">
                  <c:v>8.8</c:v>
                </c:pt>
                <c:pt idx="7">
                  <c:v>7.8</c:v>
                </c:pt>
                <c:pt idx="8">
                  <c:v>8.4</c:v>
                </c:pt>
                <c:pt idx="9">
                  <c:v>8.5</c:v>
                </c:pt>
                <c:pt idx="10">
                  <c:v>9.2</c:v>
                </c:pt>
                <c:pt idx="11">
                  <c:v>-4.4</c:v>
                </c:pt>
                <c:pt idx="12">
                  <c:v>-4.4</c:v>
                </c:pt>
                <c:pt idx="13">
                  <c:v>-5.2</c:v>
                </c:pt>
                <c:pt idx="14">
                  <c:v>-5.2</c:v>
                </c:pt>
                <c:pt idx="15">
                  <c:v>-5.4</c:v>
                </c:pt>
                <c:pt idx="16">
                  <c:v>-6.4</c:v>
                </c:pt>
                <c:pt idx="17">
                  <c:v>-5.7</c:v>
                </c:pt>
                <c:pt idx="18">
                  <c:v>-5.9</c:v>
                </c:pt>
                <c:pt idx="19">
                  <c:v>-5.8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8904832"/>
        <c:axId val="526951168"/>
      </c:lineChart>
      <c:catAx>
        <c:axId val="51890483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26951168"/>
        <c:crosses val="autoZero"/>
        <c:auto val="1"/>
        <c:lblAlgn val="ctr"/>
        <c:lblOffset val="100"/>
        <c:noMultiLvlLbl val="0"/>
      </c:catAx>
      <c:valAx>
        <c:axId val="526951168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18904832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  <c:extLst>
      <c:ext uri="{0b15fc19-7d7d-44ad-8c2d-2c3a37ce22c3}">
        <chartProps xmlns="https://web.wps.cn/et/2018/main" chartId="{a1a65f70-69f5-446c-acea-83dbd11a3fcf}"/>
      </c:ext>
    </c:extLst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微软用户</Company>
  <Pages>3</Pages>
  <Words>364</Words>
  <Characters>432</Characters>
  <Lines>3</Lines>
  <Paragraphs>1</Paragraphs>
  <TotalTime>6</TotalTime>
  <ScaleCrop>false</ScaleCrop>
  <LinksUpToDate>false</LinksUpToDate>
  <CharactersWithSpaces>433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2017-05-31T03:13:00Z</dcterms:created>
  <dc:creator>USER</dc:creator>
  <cp:lastModifiedBy>广成</cp:lastModifiedBy>
  <dcterms:modified xsi:type="dcterms:W3CDTF">2025-01-10T09:05:39Z</dcterms:modified>
  <cp:revision>229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4045792FED424C8EB334D056A3D0C6E1_12</vt:lpwstr>
  </property>
  <property fmtid="{D5CDD505-2E9C-101B-9397-08002B2CF9AE}" pid="4" name="KSOTemplateDocerSaveRecord">
    <vt:lpwstr>eyJoZGlkIjoiYmYxNmY4OTg4NDY1YjMzYTk1NWNkYTNhN2U4MmM0MWEiLCJ1c2VySWQiOiIxMjExODkyMjQ4In0=</vt:lpwstr>
  </property>
</Properties>
</file>