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259" w:rsidRPr="00AF1651" w:rsidRDefault="00134742" w:rsidP="00464C04">
      <w:pPr>
        <w:adjustRightInd w:val="0"/>
        <w:spacing w:line="480" w:lineRule="auto"/>
        <w:jc w:val="center"/>
        <w:rPr>
          <w:rFonts w:eastAsia="黑体"/>
          <w:sz w:val="32"/>
        </w:rPr>
      </w:pPr>
      <w:r w:rsidRPr="00AF1651">
        <w:rPr>
          <w:rFonts w:eastAsia="黑体" w:hint="eastAsia"/>
          <w:sz w:val="32"/>
        </w:rPr>
        <w:t>20</w:t>
      </w:r>
      <w:r w:rsidR="00BB440C" w:rsidRPr="00AF1651">
        <w:rPr>
          <w:rFonts w:eastAsia="黑体" w:hint="eastAsia"/>
          <w:sz w:val="32"/>
        </w:rPr>
        <w:t>2</w:t>
      </w:r>
      <w:r w:rsidR="00811BFB">
        <w:rPr>
          <w:rFonts w:eastAsia="黑体"/>
          <w:sz w:val="32"/>
        </w:rPr>
        <w:t>4</w:t>
      </w:r>
      <w:r w:rsidRPr="00AF1651">
        <w:rPr>
          <w:rFonts w:eastAsia="黑体" w:hint="eastAsia"/>
          <w:sz w:val="32"/>
        </w:rPr>
        <w:t>年</w:t>
      </w:r>
      <w:r w:rsidRPr="00AF1651">
        <w:rPr>
          <w:rFonts w:eastAsia="黑体" w:hint="eastAsia"/>
          <w:sz w:val="32"/>
        </w:rPr>
        <w:t>1-</w:t>
      </w:r>
      <w:r w:rsidR="00985CE8">
        <w:rPr>
          <w:rFonts w:eastAsia="黑体"/>
          <w:sz w:val="32"/>
        </w:rPr>
        <w:t>4</w:t>
      </w:r>
      <w:r w:rsidRPr="00AF1651">
        <w:rPr>
          <w:rFonts w:eastAsia="黑体" w:hint="eastAsia"/>
          <w:sz w:val="32"/>
        </w:rPr>
        <w:t>月碑林区主要经济指标</w:t>
      </w:r>
      <w:r w:rsidR="00447408" w:rsidRPr="00AF1651">
        <w:rPr>
          <w:rFonts w:eastAsia="黑体" w:hint="eastAsia"/>
          <w:sz w:val="32"/>
        </w:rPr>
        <w:t>完成情况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55"/>
        <w:gridCol w:w="1696"/>
        <w:gridCol w:w="2036"/>
      </w:tblGrid>
      <w:tr w:rsidR="00134742" w:rsidRPr="00AF1651" w:rsidTr="00F86CE8">
        <w:trPr>
          <w:trHeight w:val="449"/>
          <w:jc w:val="center"/>
        </w:trPr>
        <w:tc>
          <w:tcPr>
            <w:tcW w:w="2991" w:type="pct"/>
            <w:tcBorders>
              <w:left w:val="nil"/>
            </w:tcBorders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指标名称</w:t>
            </w:r>
          </w:p>
        </w:tc>
        <w:tc>
          <w:tcPr>
            <w:tcW w:w="913" w:type="pct"/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累计</w:t>
            </w:r>
          </w:p>
        </w:tc>
        <w:tc>
          <w:tcPr>
            <w:tcW w:w="1096" w:type="pct"/>
            <w:tcBorders>
              <w:right w:val="nil"/>
            </w:tcBorders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同比增长</w:t>
            </w:r>
            <w:r w:rsidRPr="00AF1651">
              <w:rPr>
                <w:rFonts w:hint="eastAsia"/>
                <w:b/>
                <w:sz w:val="24"/>
              </w:rPr>
              <w:t>(%)</w:t>
            </w:r>
          </w:p>
        </w:tc>
      </w:tr>
      <w:tr w:rsidR="00464C04" w:rsidRPr="00AF1651" w:rsidTr="00F86CE8">
        <w:trPr>
          <w:trHeight w:val="628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一、地区生产总值（亿元）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64C04" w:rsidRPr="00AF1651" w:rsidTr="00F86CE8">
        <w:trPr>
          <w:trHeight w:val="607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200" w:firstLine="48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其中：第二产业增加值（亿元）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64C04" w:rsidRPr="00AF1651" w:rsidTr="00F86CE8">
        <w:trPr>
          <w:trHeight w:val="614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500" w:firstLine="120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第三产业增加值（亿元）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64C04" w:rsidRPr="00AF1651" w:rsidTr="00F86CE8">
        <w:trPr>
          <w:trHeight w:val="725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二、规模以上工业增加值（亿元）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  <w:r w:rsidRPr="00D77FA0"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985CE8" w:rsidP="004D2C9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-16.1</w:t>
            </w:r>
          </w:p>
        </w:tc>
      </w:tr>
      <w:tr w:rsidR="00464C04" w:rsidRPr="00AF1651" w:rsidTr="00F86CE8">
        <w:trPr>
          <w:trHeight w:val="588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331AB7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三、固定资产投资额（亿元）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D77FA0"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985CE8" w:rsidP="001A4492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38.1</w:t>
            </w:r>
          </w:p>
        </w:tc>
      </w:tr>
      <w:tr w:rsidR="00464C04" w:rsidRPr="00AF1651" w:rsidTr="00F86CE8">
        <w:trPr>
          <w:trHeight w:val="613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四、社会消费品零售总额（亿元）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64C04" w:rsidRPr="00AF1651" w:rsidTr="00F86CE8">
        <w:trPr>
          <w:trHeight w:val="613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200" w:firstLine="48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其中：限额以上消费品零售额（亿元）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3D65F0" w:rsidP="001A44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72.70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985CE8" w:rsidP="001A44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-5.2</w:t>
            </w:r>
          </w:p>
        </w:tc>
      </w:tr>
      <w:tr w:rsidR="00464C04" w:rsidRPr="00AF1651" w:rsidTr="00F86CE8">
        <w:trPr>
          <w:trHeight w:val="615"/>
          <w:jc w:val="center"/>
        </w:trPr>
        <w:tc>
          <w:tcPr>
            <w:tcW w:w="2991" w:type="pct"/>
            <w:tcBorders>
              <w:left w:val="nil"/>
            </w:tcBorders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五、城镇居民人均可支配收入（元）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6F0A9A" w:rsidRDefault="006F0A9A" w:rsidP="00134742">
      <w:pPr>
        <w:adjustRightInd w:val="0"/>
        <w:ind w:firstLineChars="100" w:firstLine="210"/>
        <w:jc w:val="left"/>
      </w:pPr>
    </w:p>
    <w:p w:rsidR="00134742" w:rsidRDefault="00134742" w:rsidP="00A06A62">
      <w:pPr>
        <w:adjustRightInd w:val="0"/>
        <w:ind w:firstLineChars="100" w:firstLine="210"/>
        <w:jc w:val="left"/>
      </w:pPr>
      <w:r>
        <w:rPr>
          <w:rFonts w:hint="eastAsia"/>
        </w:rPr>
        <w:t>注：地区生产总值、社会消费品零售总额</w:t>
      </w:r>
      <w:r w:rsidR="00A06A62">
        <w:rPr>
          <w:rFonts w:hint="eastAsia"/>
        </w:rPr>
        <w:t>和</w:t>
      </w:r>
      <w:r>
        <w:rPr>
          <w:rFonts w:hint="eastAsia"/>
        </w:rPr>
        <w:t>城镇居民人均可支配收入均为季度数据。</w:t>
      </w:r>
    </w:p>
    <w:p w:rsidR="001606E5" w:rsidRDefault="001606E5"/>
    <w:p w:rsidR="0059408D" w:rsidRPr="00733212" w:rsidRDefault="0059408D" w:rsidP="0059408D">
      <w:pPr>
        <w:rPr>
          <w:rFonts w:ascii="宋体" w:hAnsi="宋体"/>
          <w:b/>
          <w:sz w:val="32"/>
          <w:szCs w:val="32"/>
        </w:rPr>
      </w:pPr>
      <w:r w:rsidRPr="00733212">
        <w:rPr>
          <w:rFonts w:ascii="宋体" w:hAnsi="宋体" w:hint="eastAsia"/>
          <w:b/>
          <w:sz w:val="32"/>
          <w:szCs w:val="32"/>
        </w:rPr>
        <w:t>【</w:t>
      </w:r>
      <w:r w:rsidRPr="00733212">
        <w:rPr>
          <w:rFonts w:ascii="仿宋_GB2312" w:eastAsia="仿宋_GB2312" w:hint="eastAsia"/>
          <w:b/>
          <w:sz w:val="32"/>
          <w:szCs w:val="32"/>
        </w:rPr>
        <w:t>数据解读</w:t>
      </w:r>
      <w:r w:rsidRPr="00733212">
        <w:rPr>
          <w:rFonts w:ascii="宋体" w:hAnsi="宋体" w:hint="eastAsia"/>
          <w:b/>
          <w:sz w:val="32"/>
          <w:szCs w:val="32"/>
        </w:rPr>
        <w:t>】</w:t>
      </w:r>
    </w:p>
    <w:p w:rsidR="00303CDB" w:rsidRPr="00733212" w:rsidRDefault="00303CDB" w:rsidP="004D2C99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733212">
        <w:rPr>
          <w:rFonts w:ascii="黑体" w:eastAsia="黑体" w:hAnsi="黑体" w:hint="eastAsia"/>
          <w:sz w:val="32"/>
          <w:szCs w:val="32"/>
        </w:rPr>
        <w:t>一、规模以上工业增加值</w:t>
      </w:r>
    </w:p>
    <w:p w:rsidR="001B6006" w:rsidRPr="00922DBE" w:rsidRDefault="004D2C99" w:rsidP="001B600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2DBE">
        <w:rPr>
          <w:rFonts w:eastAsia="仿宋_GB2312" w:hint="eastAsia"/>
          <w:sz w:val="32"/>
          <w:szCs w:val="32"/>
        </w:rPr>
        <w:t>1</w:t>
      </w:r>
      <w:r w:rsidRPr="00922DBE">
        <w:rPr>
          <w:rFonts w:eastAsia="仿宋_GB2312"/>
          <w:sz w:val="32"/>
          <w:szCs w:val="32"/>
        </w:rPr>
        <w:t>-</w:t>
      </w:r>
      <w:r w:rsidR="00011CC9">
        <w:rPr>
          <w:rFonts w:eastAsia="仿宋_GB2312"/>
          <w:sz w:val="32"/>
          <w:szCs w:val="32"/>
        </w:rPr>
        <w:t>4</w:t>
      </w:r>
      <w:r w:rsidRPr="00922DBE">
        <w:rPr>
          <w:rFonts w:eastAsia="仿宋_GB2312" w:hint="eastAsia"/>
          <w:sz w:val="32"/>
          <w:szCs w:val="32"/>
        </w:rPr>
        <w:t>月</w:t>
      </w:r>
      <w:r w:rsidR="001B6006" w:rsidRPr="00922DBE">
        <w:rPr>
          <w:rFonts w:eastAsia="仿宋_GB2312"/>
          <w:sz w:val="32"/>
          <w:szCs w:val="32"/>
        </w:rPr>
        <w:t>，</w:t>
      </w:r>
      <w:r w:rsidR="001B6006" w:rsidRPr="00922DBE">
        <w:rPr>
          <w:rFonts w:eastAsia="仿宋_GB2312" w:hint="eastAsia"/>
          <w:sz w:val="32"/>
          <w:szCs w:val="32"/>
        </w:rPr>
        <w:t>全区规模以上</w:t>
      </w:r>
      <w:r w:rsidR="001B6006" w:rsidRPr="00922DBE">
        <w:rPr>
          <w:rFonts w:eastAsia="仿宋_GB2312"/>
          <w:sz w:val="32"/>
          <w:szCs w:val="32"/>
        </w:rPr>
        <w:t>工业增加值</w:t>
      </w:r>
      <w:r w:rsidR="001B6006" w:rsidRPr="00922DBE">
        <w:rPr>
          <w:rFonts w:eastAsia="仿宋_GB2312" w:hint="eastAsia"/>
          <w:sz w:val="32"/>
          <w:szCs w:val="32"/>
        </w:rPr>
        <w:t>同比</w:t>
      </w:r>
      <w:r w:rsidR="00011CC9">
        <w:rPr>
          <w:rFonts w:eastAsia="仿宋_GB2312" w:hint="eastAsia"/>
          <w:sz w:val="32"/>
          <w:szCs w:val="32"/>
        </w:rPr>
        <w:t>下降</w:t>
      </w:r>
      <w:r w:rsidR="00011CC9">
        <w:rPr>
          <w:rFonts w:eastAsia="仿宋_GB2312"/>
          <w:sz w:val="32"/>
          <w:szCs w:val="32"/>
        </w:rPr>
        <w:t>16.1</w:t>
      </w:r>
      <w:r w:rsidR="001B6006" w:rsidRPr="00922DBE">
        <w:rPr>
          <w:rFonts w:eastAsia="仿宋_GB2312" w:hint="eastAsia"/>
          <w:sz w:val="32"/>
          <w:szCs w:val="32"/>
        </w:rPr>
        <w:t>%</w:t>
      </w:r>
      <w:r w:rsidR="001B6006" w:rsidRPr="00922DBE">
        <w:rPr>
          <w:rFonts w:eastAsia="仿宋_GB2312" w:hint="eastAsia"/>
          <w:sz w:val="32"/>
          <w:szCs w:val="32"/>
        </w:rPr>
        <w:t>，</w:t>
      </w:r>
      <w:r w:rsidR="00F12552">
        <w:rPr>
          <w:rFonts w:eastAsia="仿宋_GB2312" w:hint="eastAsia"/>
          <w:sz w:val="32"/>
          <w:szCs w:val="32"/>
        </w:rPr>
        <w:t>降幅</w:t>
      </w:r>
      <w:r w:rsidR="00A0794D" w:rsidRPr="00922DBE">
        <w:rPr>
          <w:rFonts w:eastAsia="仿宋_GB2312" w:hint="eastAsia"/>
          <w:sz w:val="32"/>
          <w:szCs w:val="32"/>
        </w:rPr>
        <w:t>比</w:t>
      </w:r>
      <w:r w:rsidR="00011CC9">
        <w:rPr>
          <w:rFonts w:eastAsia="仿宋_GB2312" w:hint="eastAsia"/>
          <w:sz w:val="32"/>
          <w:szCs w:val="32"/>
        </w:rPr>
        <w:t>1</w:t>
      </w:r>
      <w:r w:rsidR="00011CC9">
        <w:rPr>
          <w:rFonts w:eastAsia="仿宋_GB2312"/>
          <w:sz w:val="32"/>
          <w:szCs w:val="32"/>
        </w:rPr>
        <w:t>-3</w:t>
      </w:r>
      <w:r w:rsidR="00011CC9">
        <w:rPr>
          <w:rFonts w:eastAsia="仿宋_GB2312" w:hint="eastAsia"/>
          <w:sz w:val="32"/>
          <w:szCs w:val="32"/>
        </w:rPr>
        <w:t>月</w:t>
      </w:r>
      <w:r w:rsidR="00F12552">
        <w:rPr>
          <w:rFonts w:eastAsia="仿宋_GB2312" w:hint="eastAsia"/>
          <w:sz w:val="32"/>
          <w:szCs w:val="32"/>
        </w:rPr>
        <w:t>加深</w:t>
      </w:r>
      <w:r w:rsidR="00011CC9">
        <w:rPr>
          <w:rFonts w:eastAsia="仿宋_GB2312"/>
          <w:sz w:val="32"/>
          <w:szCs w:val="32"/>
        </w:rPr>
        <w:t>2.2</w:t>
      </w:r>
      <w:r w:rsidR="001B6006" w:rsidRPr="00922DBE">
        <w:rPr>
          <w:rFonts w:eastAsia="仿宋_GB2312" w:hint="eastAsia"/>
          <w:sz w:val="32"/>
          <w:szCs w:val="32"/>
        </w:rPr>
        <w:t>个</w:t>
      </w:r>
      <w:r w:rsidR="001B6006" w:rsidRPr="00922DBE">
        <w:rPr>
          <w:rFonts w:eastAsia="仿宋_GB2312"/>
          <w:sz w:val="32"/>
          <w:szCs w:val="32"/>
        </w:rPr>
        <w:t>百分点</w:t>
      </w:r>
      <w:r w:rsidR="001B6006" w:rsidRPr="00922DBE">
        <w:rPr>
          <w:rFonts w:eastAsia="仿宋_GB2312" w:hint="eastAsia"/>
          <w:sz w:val="32"/>
          <w:szCs w:val="32"/>
        </w:rPr>
        <w:t>。</w:t>
      </w:r>
    </w:p>
    <w:p w:rsidR="0052664B" w:rsidRPr="001B6006" w:rsidRDefault="00FB7D48" w:rsidP="00751453">
      <w:pPr>
        <w:jc w:val="center"/>
        <w:rPr>
          <w:rFonts w:ascii="仿宋_GB2312" w:eastAsia="仿宋_GB2312"/>
          <w:sz w:val="32"/>
          <w:szCs w:val="32"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7EB06FD4" wp14:editId="47B3084A">
            <wp:extent cx="5760085" cy="3420000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bookmarkEnd w:id="0"/>
    </w:p>
    <w:p w:rsidR="00303CDB" w:rsidRPr="00733212" w:rsidRDefault="004D2C99" w:rsidP="00303CDB">
      <w:pPr>
        <w:spacing w:line="560" w:lineRule="exact"/>
        <w:ind w:firstLineChars="196" w:firstLine="627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303CDB" w:rsidRPr="00733212">
        <w:rPr>
          <w:rFonts w:ascii="黑体" w:eastAsia="黑体" w:hAnsi="黑体" w:hint="eastAsia"/>
          <w:sz w:val="32"/>
          <w:szCs w:val="32"/>
        </w:rPr>
        <w:t>、固定资产投资</w:t>
      </w:r>
    </w:p>
    <w:p w:rsidR="00C97900" w:rsidRPr="009913DF" w:rsidRDefault="004D2C99" w:rsidP="00114EE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913DF">
        <w:rPr>
          <w:rFonts w:eastAsia="仿宋_GB2312" w:hint="eastAsia"/>
          <w:sz w:val="32"/>
          <w:szCs w:val="32"/>
        </w:rPr>
        <w:t>1</w:t>
      </w:r>
      <w:r w:rsidRPr="009913DF">
        <w:rPr>
          <w:rFonts w:eastAsia="仿宋_GB2312"/>
          <w:sz w:val="32"/>
          <w:szCs w:val="32"/>
        </w:rPr>
        <w:t>-</w:t>
      </w:r>
      <w:r w:rsidR="007B1937">
        <w:rPr>
          <w:rFonts w:eastAsia="仿宋_GB2312"/>
          <w:sz w:val="32"/>
          <w:szCs w:val="32"/>
        </w:rPr>
        <w:t>4</w:t>
      </w:r>
      <w:r w:rsidRPr="009913DF">
        <w:rPr>
          <w:rFonts w:eastAsia="仿宋_GB2312" w:hint="eastAsia"/>
          <w:sz w:val="32"/>
          <w:szCs w:val="32"/>
        </w:rPr>
        <w:t>月</w:t>
      </w:r>
      <w:r w:rsidR="00C97900" w:rsidRPr="009913DF">
        <w:rPr>
          <w:rFonts w:eastAsia="仿宋_GB2312"/>
          <w:sz w:val="32"/>
          <w:szCs w:val="32"/>
        </w:rPr>
        <w:t>，</w:t>
      </w:r>
      <w:r w:rsidR="00C97900" w:rsidRPr="009913DF">
        <w:rPr>
          <w:rFonts w:eastAsia="仿宋_GB2312" w:hint="eastAsia"/>
          <w:sz w:val="32"/>
          <w:szCs w:val="32"/>
        </w:rPr>
        <w:t>全区</w:t>
      </w:r>
      <w:r w:rsidR="00C97900" w:rsidRPr="009913DF">
        <w:rPr>
          <w:rFonts w:eastAsia="仿宋_GB2312"/>
          <w:sz w:val="32"/>
          <w:szCs w:val="32"/>
        </w:rPr>
        <w:t>固定资产投资同比</w:t>
      </w:r>
      <w:r w:rsidR="00512799" w:rsidRPr="009913DF">
        <w:rPr>
          <w:rFonts w:eastAsia="仿宋_GB2312" w:hint="eastAsia"/>
          <w:sz w:val="32"/>
          <w:szCs w:val="32"/>
        </w:rPr>
        <w:t>增长</w:t>
      </w:r>
      <w:r w:rsidR="00F12552">
        <w:rPr>
          <w:rFonts w:eastAsia="仿宋_GB2312"/>
          <w:sz w:val="32"/>
          <w:szCs w:val="32"/>
        </w:rPr>
        <w:t>38.1</w:t>
      </w:r>
      <w:r w:rsidR="00C97900" w:rsidRPr="009913DF">
        <w:rPr>
          <w:rFonts w:eastAsia="仿宋_GB2312"/>
          <w:sz w:val="32"/>
          <w:szCs w:val="32"/>
        </w:rPr>
        <w:t>%</w:t>
      </w:r>
      <w:r w:rsidR="00C97900" w:rsidRPr="009913DF">
        <w:rPr>
          <w:rFonts w:eastAsia="仿宋_GB2312" w:hint="eastAsia"/>
          <w:sz w:val="32"/>
          <w:szCs w:val="32"/>
        </w:rPr>
        <w:t>，</w:t>
      </w:r>
      <w:r w:rsidR="00C97900" w:rsidRPr="009913DF">
        <w:rPr>
          <w:rFonts w:eastAsia="仿宋_GB2312"/>
          <w:sz w:val="32"/>
          <w:szCs w:val="32"/>
        </w:rPr>
        <w:t>比</w:t>
      </w:r>
      <w:r w:rsidR="00F12552">
        <w:rPr>
          <w:rFonts w:eastAsia="仿宋_GB2312" w:hint="eastAsia"/>
          <w:sz w:val="32"/>
          <w:szCs w:val="32"/>
        </w:rPr>
        <w:t>1</w:t>
      </w:r>
      <w:r w:rsidR="00F12552">
        <w:rPr>
          <w:rFonts w:eastAsia="仿宋_GB2312"/>
          <w:sz w:val="32"/>
          <w:szCs w:val="32"/>
        </w:rPr>
        <w:t>-3</w:t>
      </w:r>
      <w:r w:rsidR="00F12552">
        <w:rPr>
          <w:rFonts w:eastAsia="仿宋_GB2312" w:hint="eastAsia"/>
          <w:sz w:val="32"/>
          <w:szCs w:val="32"/>
        </w:rPr>
        <w:t>月提高</w:t>
      </w:r>
      <w:r w:rsidR="00F12552">
        <w:rPr>
          <w:rFonts w:eastAsia="仿宋_GB2312"/>
          <w:sz w:val="32"/>
          <w:szCs w:val="32"/>
        </w:rPr>
        <w:t>15.5</w:t>
      </w:r>
      <w:r w:rsidR="00C97900" w:rsidRPr="009913DF">
        <w:rPr>
          <w:rFonts w:eastAsia="仿宋_GB2312" w:hint="eastAsia"/>
          <w:sz w:val="32"/>
          <w:szCs w:val="32"/>
        </w:rPr>
        <w:t>个</w:t>
      </w:r>
      <w:r w:rsidR="00C97900" w:rsidRPr="009913DF">
        <w:rPr>
          <w:rFonts w:eastAsia="仿宋_GB2312"/>
          <w:sz w:val="32"/>
          <w:szCs w:val="32"/>
        </w:rPr>
        <w:t>百分点</w:t>
      </w:r>
      <w:r w:rsidR="00C97900" w:rsidRPr="009913DF">
        <w:rPr>
          <w:rFonts w:eastAsia="仿宋_GB2312" w:hint="eastAsia"/>
          <w:sz w:val="32"/>
          <w:szCs w:val="32"/>
        </w:rPr>
        <w:t>。其中，民间投资同比</w:t>
      </w:r>
      <w:r w:rsidR="00512799" w:rsidRPr="009913DF">
        <w:rPr>
          <w:rFonts w:eastAsia="仿宋_GB2312" w:hint="eastAsia"/>
          <w:sz w:val="32"/>
          <w:szCs w:val="32"/>
        </w:rPr>
        <w:t>增长</w:t>
      </w:r>
      <w:r w:rsidR="00CB6790">
        <w:rPr>
          <w:rFonts w:eastAsia="仿宋_GB2312"/>
          <w:sz w:val="32"/>
          <w:szCs w:val="32"/>
        </w:rPr>
        <w:t>44.3</w:t>
      </w:r>
      <w:r w:rsidR="009913DF" w:rsidRPr="009913DF">
        <w:rPr>
          <w:rFonts w:eastAsia="仿宋_GB2312"/>
          <w:sz w:val="32"/>
          <w:szCs w:val="32"/>
        </w:rPr>
        <w:t>%</w:t>
      </w:r>
      <w:r w:rsidR="00C97900" w:rsidRPr="009913DF">
        <w:rPr>
          <w:rFonts w:eastAsia="仿宋_GB2312" w:hint="eastAsia"/>
          <w:sz w:val="32"/>
          <w:szCs w:val="32"/>
        </w:rPr>
        <w:t>。</w:t>
      </w:r>
    </w:p>
    <w:p w:rsidR="0052664B" w:rsidRPr="0052664B" w:rsidRDefault="008251F4" w:rsidP="00751453">
      <w:pPr>
        <w:jc w:val="center"/>
        <w:rPr>
          <w:rFonts w:ascii="仿宋_GB2312" w:eastAsia="仿宋_GB2312" w:hAnsi="仿宋"/>
          <w:sz w:val="32"/>
          <w:szCs w:val="32"/>
        </w:rPr>
      </w:pPr>
      <w:r>
        <w:rPr>
          <w:noProof/>
        </w:rPr>
        <w:drawing>
          <wp:inline distT="0" distB="0" distL="0" distR="0" wp14:anchorId="0CF1E367" wp14:editId="4B5508C9">
            <wp:extent cx="5760085" cy="3420000"/>
            <wp:effectExtent l="0" t="0" r="0" b="0"/>
            <wp:docPr id="5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303CDB" w:rsidRPr="00733212" w:rsidRDefault="004D2C99" w:rsidP="00303CDB">
      <w:pPr>
        <w:spacing w:line="560" w:lineRule="exact"/>
        <w:ind w:firstLineChars="196" w:firstLine="627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三</w:t>
      </w:r>
      <w:r w:rsidR="00303CDB" w:rsidRPr="00733212">
        <w:rPr>
          <w:rFonts w:ascii="黑体" w:eastAsia="黑体" w:hAnsi="黑体" w:hint="eastAsia"/>
          <w:sz w:val="32"/>
          <w:szCs w:val="32"/>
        </w:rPr>
        <w:t>、</w:t>
      </w:r>
      <w:r w:rsidRPr="004D2C99">
        <w:rPr>
          <w:rFonts w:ascii="黑体" w:eastAsia="黑体" w:hAnsi="黑体" w:hint="eastAsia"/>
          <w:sz w:val="32"/>
          <w:szCs w:val="32"/>
        </w:rPr>
        <w:t>限额以上单位消费品零售额</w:t>
      </w:r>
    </w:p>
    <w:p w:rsidR="00C97900" w:rsidRPr="00114EEC" w:rsidRDefault="004D2C99" w:rsidP="00C979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-</w:t>
      </w:r>
      <w:r w:rsidR="003D65F0">
        <w:rPr>
          <w:rFonts w:eastAsia="仿宋_GB2312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月</w:t>
      </w:r>
      <w:r w:rsidR="00C97900" w:rsidRPr="00114EEC">
        <w:rPr>
          <w:rFonts w:eastAsia="仿宋_GB2312" w:hint="eastAsia"/>
          <w:sz w:val="32"/>
          <w:szCs w:val="32"/>
        </w:rPr>
        <w:t>，全区</w:t>
      </w:r>
      <w:r w:rsidR="00017003" w:rsidRPr="00114EEC">
        <w:rPr>
          <w:rFonts w:eastAsia="仿宋_GB2312" w:hint="eastAsia"/>
          <w:sz w:val="32"/>
          <w:szCs w:val="32"/>
        </w:rPr>
        <w:t>限额以上</w:t>
      </w:r>
      <w:r w:rsidR="00FF22C5">
        <w:rPr>
          <w:rFonts w:eastAsia="仿宋_GB2312" w:hint="eastAsia"/>
          <w:sz w:val="32"/>
          <w:szCs w:val="32"/>
        </w:rPr>
        <w:t>单位</w:t>
      </w:r>
      <w:r w:rsidR="00017003" w:rsidRPr="00114EEC">
        <w:rPr>
          <w:rFonts w:eastAsia="仿宋_GB2312" w:hint="eastAsia"/>
          <w:sz w:val="32"/>
          <w:szCs w:val="32"/>
        </w:rPr>
        <w:t>消费品零售额</w:t>
      </w:r>
      <w:r w:rsidR="003D65F0">
        <w:rPr>
          <w:rFonts w:eastAsia="仿宋_GB2312"/>
          <w:sz w:val="32"/>
          <w:szCs w:val="32"/>
        </w:rPr>
        <w:t>72.70</w:t>
      </w:r>
      <w:r w:rsidR="00C97900" w:rsidRPr="00114EEC">
        <w:rPr>
          <w:rFonts w:eastAsia="仿宋_GB2312" w:hint="eastAsia"/>
          <w:sz w:val="32"/>
          <w:szCs w:val="32"/>
        </w:rPr>
        <w:t>亿元，同比</w:t>
      </w:r>
      <w:r w:rsidR="00A0794D">
        <w:rPr>
          <w:rFonts w:eastAsia="仿宋_GB2312" w:hint="eastAsia"/>
          <w:sz w:val="32"/>
          <w:szCs w:val="32"/>
        </w:rPr>
        <w:t>下降</w:t>
      </w:r>
      <w:r w:rsidR="003D65F0">
        <w:rPr>
          <w:rFonts w:eastAsia="仿宋_GB2312"/>
          <w:sz w:val="32"/>
          <w:szCs w:val="32"/>
        </w:rPr>
        <w:t>5.2</w:t>
      </w:r>
      <w:r w:rsidR="00C97900" w:rsidRPr="00114EEC">
        <w:rPr>
          <w:rFonts w:eastAsia="仿宋_GB2312"/>
          <w:sz w:val="32"/>
          <w:szCs w:val="32"/>
        </w:rPr>
        <w:t>%</w:t>
      </w:r>
      <w:r w:rsidR="00C97900" w:rsidRPr="00114EEC">
        <w:rPr>
          <w:rFonts w:eastAsia="仿宋_GB2312" w:hint="eastAsia"/>
          <w:sz w:val="32"/>
          <w:szCs w:val="32"/>
        </w:rPr>
        <w:t>，</w:t>
      </w:r>
      <w:r w:rsidR="003D65F0">
        <w:rPr>
          <w:rFonts w:eastAsia="仿宋_GB2312" w:hint="eastAsia"/>
          <w:sz w:val="32"/>
          <w:szCs w:val="32"/>
        </w:rPr>
        <w:t>降幅</w:t>
      </w:r>
      <w:r w:rsidR="00C97900" w:rsidRPr="00114EEC">
        <w:rPr>
          <w:rFonts w:eastAsia="仿宋_GB2312" w:hint="eastAsia"/>
          <w:sz w:val="32"/>
          <w:szCs w:val="32"/>
        </w:rPr>
        <w:t>比</w:t>
      </w:r>
      <w:r w:rsidR="003D65F0">
        <w:rPr>
          <w:rFonts w:eastAsia="仿宋_GB2312" w:hint="eastAsia"/>
          <w:sz w:val="32"/>
          <w:szCs w:val="32"/>
        </w:rPr>
        <w:t>1</w:t>
      </w:r>
      <w:r w:rsidR="003D65F0">
        <w:rPr>
          <w:rFonts w:eastAsia="仿宋_GB2312"/>
          <w:sz w:val="32"/>
          <w:szCs w:val="32"/>
        </w:rPr>
        <w:t>-3</w:t>
      </w:r>
      <w:r w:rsidR="003D65F0">
        <w:rPr>
          <w:rFonts w:eastAsia="仿宋_GB2312" w:hint="eastAsia"/>
          <w:sz w:val="32"/>
          <w:szCs w:val="32"/>
        </w:rPr>
        <w:t>月加深</w:t>
      </w:r>
      <w:r w:rsidR="003D65F0">
        <w:rPr>
          <w:rFonts w:eastAsia="仿宋_GB2312"/>
          <w:sz w:val="32"/>
          <w:szCs w:val="32"/>
        </w:rPr>
        <w:t>0.8</w:t>
      </w:r>
      <w:r w:rsidR="00C97900" w:rsidRPr="00114EEC">
        <w:rPr>
          <w:rFonts w:eastAsia="仿宋_GB2312" w:hint="eastAsia"/>
          <w:sz w:val="32"/>
          <w:szCs w:val="32"/>
        </w:rPr>
        <w:t>个百分点。</w:t>
      </w:r>
      <w:r w:rsidR="00C97900" w:rsidRPr="005A0C57">
        <w:rPr>
          <w:rFonts w:eastAsia="仿宋_GB2312" w:hint="eastAsia"/>
          <w:sz w:val="32"/>
          <w:szCs w:val="32"/>
        </w:rPr>
        <w:t>按</w:t>
      </w:r>
      <w:r w:rsidR="00C97900" w:rsidRPr="005A0C57">
        <w:rPr>
          <w:rFonts w:eastAsia="仿宋_GB2312"/>
          <w:sz w:val="32"/>
          <w:szCs w:val="32"/>
        </w:rPr>
        <w:t>消费形态</w:t>
      </w:r>
      <w:r w:rsidR="00C97900" w:rsidRPr="005A0C57">
        <w:rPr>
          <w:rFonts w:eastAsia="仿宋_GB2312" w:hint="eastAsia"/>
          <w:sz w:val="32"/>
          <w:szCs w:val="32"/>
        </w:rPr>
        <w:t>分</w:t>
      </w:r>
      <w:r w:rsidR="00C97900" w:rsidRPr="005A0C57">
        <w:rPr>
          <w:rFonts w:eastAsia="仿宋_GB2312"/>
          <w:sz w:val="32"/>
          <w:szCs w:val="32"/>
        </w:rPr>
        <w:t>，商品零售同比</w:t>
      </w:r>
      <w:r w:rsidR="00AA6866">
        <w:rPr>
          <w:rFonts w:eastAsia="仿宋_GB2312" w:hint="eastAsia"/>
          <w:sz w:val="32"/>
          <w:szCs w:val="32"/>
        </w:rPr>
        <w:t>下降</w:t>
      </w:r>
      <w:r w:rsidR="00AA6866">
        <w:rPr>
          <w:rFonts w:eastAsia="仿宋_GB2312"/>
          <w:sz w:val="32"/>
          <w:szCs w:val="32"/>
        </w:rPr>
        <w:t>6</w:t>
      </w:r>
      <w:r w:rsidR="003E23D9">
        <w:rPr>
          <w:rFonts w:eastAsia="仿宋_GB2312"/>
          <w:sz w:val="32"/>
          <w:szCs w:val="32"/>
        </w:rPr>
        <w:t>.0</w:t>
      </w:r>
      <w:r w:rsidR="00C97900" w:rsidRPr="005A0C57">
        <w:rPr>
          <w:rFonts w:eastAsia="仿宋_GB2312"/>
          <w:sz w:val="32"/>
          <w:szCs w:val="32"/>
        </w:rPr>
        <w:t>%</w:t>
      </w:r>
      <w:r w:rsidR="00C97900" w:rsidRPr="005A0C57">
        <w:rPr>
          <w:rFonts w:eastAsia="仿宋_GB2312" w:hint="eastAsia"/>
          <w:sz w:val="32"/>
          <w:szCs w:val="32"/>
        </w:rPr>
        <w:t>，</w:t>
      </w:r>
      <w:r w:rsidR="00C97900" w:rsidRPr="005A0C57">
        <w:rPr>
          <w:rFonts w:eastAsia="仿宋_GB2312"/>
          <w:sz w:val="32"/>
          <w:szCs w:val="32"/>
        </w:rPr>
        <w:t>餐饮收入同比</w:t>
      </w:r>
      <w:r w:rsidR="00D2156B" w:rsidRPr="005A0C57">
        <w:rPr>
          <w:rFonts w:eastAsia="仿宋_GB2312" w:hint="eastAsia"/>
          <w:sz w:val="32"/>
          <w:szCs w:val="32"/>
        </w:rPr>
        <w:t>增长</w:t>
      </w:r>
      <w:r w:rsidR="003E23D9">
        <w:rPr>
          <w:rFonts w:eastAsia="仿宋_GB2312"/>
          <w:sz w:val="32"/>
          <w:szCs w:val="32"/>
        </w:rPr>
        <w:t>2.0</w:t>
      </w:r>
      <w:r w:rsidR="00C97900" w:rsidRPr="005A0C57">
        <w:rPr>
          <w:rFonts w:eastAsia="仿宋_GB2312"/>
          <w:sz w:val="32"/>
          <w:szCs w:val="32"/>
        </w:rPr>
        <w:t>%</w:t>
      </w:r>
      <w:r w:rsidR="00C97900" w:rsidRPr="005A0C57">
        <w:rPr>
          <w:rFonts w:eastAsia="仿宋_GB2312" w:hint="eastAsia"/>
          <w:sz w:val="32"/>
          <w:szCs w:val="32"/>
        </w:rPr>
        <w:t>。</w:t>
      </w:r>
    </w:p>
    <w:p w:rsidR="0052664B" w:rsidRPr="00075475" w:rsidRDefault="008251F4" w:rsidP="002D0AE2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53289EF0" wp14:editId="387CD768">
            <wp:extent cx="5760085" cy="3420000"/>
            <wp:effectExtent l="0" t="0" r="0" b="0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sectPr w:rsidR="0052664B" w:rsidRPr="00075475" w:rsidSect="00751453">
      <w:pgSz w:w="11906" w:h="16838"/>
      <w:pgMar w:top="1985" w:right="1361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00C4" w:rsidRDefault="009100C4" w:rsidP="00B5357C">
      <w:r>
        <w:separator/>
      </w:r>
    </w:p>
  </w:endnote>
  <w:endnote w:type="continuationSeparator" w:id="0">
    <w:p w:rsidR="009100C4" w:rsidRDefault="009100C4" w:rsidP="00B53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00C4" w:rsidRDefault="009100C4" w:rsidP="00B5357C">
      <w:r>
        <w:separator/>
      </w:r>
    </w:p>
  </w:footnote>
  <w:footnote w:type="continuationSeparator" w:id="0">
    <w:p w:rsidR="009100C4" w:rsidRDefault="009100C4" w:rsidP="00B535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4742"/>
    <w:rsid w:val="00002B11"/>
    <w:rsid w:val="00011729"/>
    <w:rsid w:val="00011CC9"/>
    <w:rsid w:val="00017003"/>
    <w:rsid w:val="00033A62"/>
    <w:rsid w:val="00057FCB"/>
    <w:rsid w:val="00073B34"/>
    <w:rsid w:val="00075475"/>
    <w:rsid w:val="0008082E"/>
    <w:rsid w:val="00081123"/>
    <w:rsid w:val="00083DC7"/>
    <w:rsid w:val="00086EF0"/>
    <w:rsid w:val="0009425E"/>
    <w:rsid w:val="000956B2"/>
    <w:rsid w:val="000C2269"/>
    <w:rsid w:val="000D1505"/>
    <w:rsid w:val="000F11D0"/>
    <w:rsid w:val="000F6184"/>
    <w:rsid w:val="00102BB1"/>
    <w:rsid w:val="00114EEC"/>
    <w:rsid w:val="00134742"/>
    <w:rsid w:val="0015381D"/>
    <w:rsid w:val="001548D7"/>
    <w:rsid w:val="001606E5"/>
    <w:rsid w:val="00163E98"/>
    <w:rsid w:val="00195206"/>
    <w:rsid w:val="001A4492"/>
    <w:rsid w:val="001A78E4"/>
    <w:rsid w:val="001B34D2"/>
    <w:rsid w:val="001B6006"/>
    <w:rsid w:val="001C4437"/>
    <w:rsid w:val="001E060A"/>
    <w:rsid w:val="001F119B"/>
    <w:rsid w:val="00221686"/>
    <w:rsid w:val="00224345"/>
    <w:rsid w:val="002501C9"/>
    <w:rsid w:val="00251C2D"/>
    <w:rsid w:val="00264A29"/>
    <w:rsid w:val="00265AB8"/>
    <w:rsid w:val="00281A85"/>
    <w:rsid w:val="00282A1C"/>
    <w:rsid w:val="002847D1"/>
    <w:rsid w:val="00293DE4"/>
    <w:rsid w:val="002A0F71"/>
    <w:rsid w:val="002A46B7"/>
    <w:rsid w:val="002A7325"/>
    <w:rsid w:val="002D0AE2"/>
    <w:rsid w:val="002F7128"/>
    <w:rsid w:val="00303CDB"/>
    <w:rsid w:val="00316FC8"/>
    <w:rsid w:val="00331AB7"/>
    <w:rsid w:val="00331F8A"/>
    <w:rsid w:val="00341591"/>
    <w:rsid w:val="003558CC"/>
    <w:rsid w:val="003648E1"/>
    <w:rsid w:val="00370F06"/>
    <w:rsid w:val="00373C43"/>
    <w:rsid w:val="003864D1"/>
    <w:rsid w:val="003876B0"/>
    <w:rsid w:val="00395A8D"/>
    <w:rsid w:val="003B415E"/>
    <w:rsid w:val="003C0AEC"/>
    <w:rsid w:val="003D50F4"/>
    <w:rsid w:val="003D65F0"/>
    <w:rsid w:val="003E23D9"/>
    <w:rsid w:val="003F398F"/>
    <w:rsid w:val="00404AAF"/>
    <w:rsid w:val="00414F69"/>
    <w:rsid w:val="00417AFE"/>
    <w:rsid w:val="00447408"/>
    <w:rsid w:val="00464C04"/>
    <w:rsid w:val="00471EBB"/>
    <w:rsid w:val="004947B8"/>
    <w:rsid w:val="00494FF6"/>
    <w:rsid w:val="004C01EF"/>
    <w:rsid w:val="004D051D"/>
    <w:rsid w:val="004D2143"/>
    <w:rsid w:val="004D2C99"/>
    <w:rsid w:val="005005A0"/>
    <w:rsid w:val="005105F9"/>
    <w:rsid w:val="00512799"/>
    <w:rsid w:val="00520B0C"/>
    <w:rsid w:val="0052664B"/>
    <w:rsid w:val="00537631"/>
    <w:rsid w:val="0054484D"/>
    <w:rsid w:val="00550A2C"/>
    <w:rsid w:val="00552201"/>
    <w:rsid w:val="00566E9D"/>
    <w:rsid w:val="00574655"/>
    <w:rsid w:val="00583881"/>
    <w:rsid w:val="0059408D"/>
    <w:rsid w:val="005959F1"/>
    <w:rsid w:val="005968C7"/>
    <w:rsid w:val="005A0C57"/>
    <w:rsid w:val="005A1C62"/>
    <w:rsid w:val="005A405E"/>
    <w:rsid w:val="005B02DD"/>
    <w:rsid w:val="005C26DE"/>
    <w:rsid w:val="005F5B53"/>
    <w:rsid w:val="00603C0D"/>
    <w:rsid w:val="00612F8C"/>
    <w:rsid w:val="006333B7"/>
    <w:rsid w:val="006437FB"/>
    <w:rsid w:val="00646946"/>
    <w:rsid w:val="00653750"/>
    <w:rsid w:val="00656019"/>
    <w:rsid w:val="00664C1A"/>
    <w:rsid w:val="0069091E"/>
    <w:rsid w:val="006F0A9A"/>
    <w:rsid w:val="00702784"/>
    <w:rsid w:val="00707735"/>
    <w:rsid w:val="00716BD6"/>
    <w:rsid w:val="00721212"/>
    <w:rsid w:val="007251A3"/>
    <w:rsid w:val="00732246"/>
    <w:rsid w:val="00733259"/>
    <w:rsid w:val="00735F5B"/>
    <w:rsid w:val="00751453"/>
    <w:rsid w:val="0078601A"/>
    <w:rsid w:val="00793595"/>
    <w:rsid w:val="007B1937"/>
    <w:rsid w:val="007B3434"/>
    <w:rsid w:val="007C7AA4"/>
    <w:rsid w:val="007D31B9"/>
    <w:rsid w:val="007F4D0A"/>
    <w:rsid w:val="00811BFB"/>
    <w:rsid w:val="008251F4"/>
    <w:rsid w:val="0085221F"/>
    <w:rsid w:val="008624D0"/>
    <w:rsid w:val="008646F4"/>
    <w:rsid w:val="00874A39"/>
    <w:rsid w:val="00875127"/>
    <w:rsid w:val="008A5202"/>
    <w:rsid w:val="008B00C4"/>
    <w:rsid w:val="008B2C11"/>
    <w:rsid w:val="008B7FB9"/>
    <w:rsid w:val="008C5B1E"/>
    <w:rsid w:val="008E304B"/>
    <w:rsid w:val="008F11B0"/>
    <w:rsid w:val="008F7B79"/>
    <w:rsid w:val="009004D4"/>
    <w:rsid w:val="009100C4"/>
    <w:rsid w:val="00916A79"/>
    <w:rsid w:val="00922DBE"/>
    <w:rsid w:val="00945C68"/>
    <w:rsid w:val="00946BC8"/>
    <w:rsid w:val="00985CE8"/>
    <w:rsid w:val="009913DF"/>
    <w:rsid w:val="009A193E"/>
    <w:rsid w:val="009A3FE4"/>
    <w:rsid w:val="009A4725"/>
    <w:rsid w:val="009E0428"/>
    <w:rsid w:val="009E7FE7"/>
    <w:rsid w:val="009F2F26"/>
    <w:rsid w:val="00A06A62"/>
    <w:rsid w:val="00A0794D"/>
    <w:rsid w:val="00A33146"/>
    <w:rsid w:val="00A343F2"/>
    <w:rsid w:val="00A46EB3"/>
    <w:rsid w:val="00A57907"/>
    <w:rsid w:val="00A616F2"/>
    <w:rsid w:val="00A85823"/>
    <w:rsid w:val="00A8636B"/>
    <w:rsid w:val="00A97133"/>
    <w:rsid w:val="00AA6866"/>
    <w:rsid w:val="00AB6B68"/>
    <w:rsid w:val="00AC233A"/>
    <w:rsid w:val="00AD7050"/>
    <w:rsid w:val="00AE0C69"/>
    <w:rsid w:val="00AE2C3B"/>
    <w:rsid w:val="00AE7FDB"/>
    <w:rsid w:val="00AF1651"/>
    <w:rsid w:val="00AF185D"/>
    <w:rsid w:val="00AF2F3D"/>
    <w:rsid w:val="00AF6332"/>
    <w:rsid w:val="00B11BEC"/>
    <w:rsid w:val="00B13ADA"/>
    <w:rsid w:val="00B23D49"/>
    <w:rsid w:val="00B2735F"/>
    <w:rsid w:val="00B51BBC"/>
    <w:rsid w:val="00B527BE"/>
    <w:rsid w:val="00B5357C"/>
    <w:rsid w:val="00B66302"/>
    <w:rsid w:val="00B67D4E"/>
    <w:rsid w:val="00B73BD3"/>
    <w:rsid w:val="00B802E0"/>
    <w:rsid w:val="00B97143"/>
    <w:rsid w:val="00BA057F"/>
    <w:rsid w:val="00BB440C"/>
    <w:rsid w:val="00BD0954"/>
    <w:rsid w:val="00BE0060"/>
    <w:rsid w:val="00BE6E0C"/>
    <w:rsid w:val="00BF66BF"/>
    <w:rsid w:val="00C1799D"/>
    <w:rsid w:val="00C31CF4"/>
    <w:rsid w:val="00C64E0C"/>
    <w:rsid w:val="00C709AC"/>
    <w:rsid w:val="00C90A04"/>
    <w:rsid w:val="00C974DC"/>
    <w:rsid w:val="00C97900"/>
    <w:rsid w:val="00CB1417"/>
    <w:rsid w:val="00CB6790"/>
    <w:rsid w:val="00CC0A19"/>
    <w:rsid w:val="00CE33CE"/>
    <w:rsid w:val="00CF0D94"/>
    <w:rsid w:val="00CF38BB"/>
    <w:rsid w:val="00CF3D56"/>
    <w:rsid w:val="00D2156B"/>
    <w:rsid w:val="00D414C9"/>
    <w:rsid w:val="00D63182"/>
    <w:rsid w:val="00D72A87"/>
    <w:rsid w:val="00D739C3"/>
    <w:rsid w:val="00D7607A"/>
    <w:rsid w:val="00D77FA0"/>
    <w:rsid w:val="00D80711"/>
    <w:rsid w:val="00D832B5"/>
    <w:rsid w:val="00DA1ADC"/>
    <w:rsid w:val="00DB61B1"/>
    <w:rsid w:val="00DD3BAC"/>
    <w:rsid w:val="00E119C2"/>
    <w:rsid w:val="00E22D90"/>
    <w:rsid w:val="00E236A9"/>
    <w:rsid w:val="00E264A6"/>
    <w:rsid w:val="00E27696"/>
    <w:rsid w:val="00E46813"/>
    <w:rsid w:val="00E63045"/>
    <w:rsid w:val="00E773DA"/>
    <w:rsid w:val="00E87334"/>
    <w:rsid w:val="00E90AE7"/>
    <w:rsid w:val="00EB1AC2"/>
    <w:rsid w:val="00EB4BB7"/>
    <w:rsid w:val="00EB7BA3"/>
    <w:rsid w:val="00EE36F2"/>
    <w:rsid w:val="00F11FBC"/>
    <w:rsid w:val="00F12552"/>
    <w:rsid w:val="00F13CF1"/>
    <w:rsid w:val="00F15D69"/>
    <w:rsid w:val="00F21A3E"/>
    <w:rsid w:val="00F36610"/>
    <w:rsid w:val="00F37552"/>
    <w:rsid w:val="00F42B5E"/>
    <w:rsid w:val="00F640CB"/>
    <w:rsid w:val="00F73657"/>
    <w:rsid w:val="00F86CE8"/>
    <w:rsid w:val="00F93A17"/>
    <w:rsid w:val="00FA0093"/>
    <w:rsid w:val="00FA6C76"/>
    <w:rsid w:val="00FB7D48"/>
    <w:rsid w:val="00FD1692"/>
    <w:rsid w:val="00FD7BF5"/>
    <w:rsid w:val="00FE6B90"/>
    <w:rsid w:val="00FF2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F7850E"/>
  <w15:docId w15:val="{D8920BF9-63F9-46BD-876D-C354A2C29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3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357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3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357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B00C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B00C4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464C04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64C0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01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4&#23545;&#22806;&#21457;&#24067;&#29992;&#2227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4&#23545;&#22806;&#21457;&#24067;&#29992;&#2227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4&#23545;&#22806;&#21457;&#24067;&#29992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2023</a:t>
            </a:r>
            <a:r>
              <a:rPr lang="zh-CN" altLang="en-US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年以来规模以上</a:t>
            </a:r>
            <a:r>
              <a:rPr lang="zh-CN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工业增加值累计增速（</a:t>
            </a:r>
            <a:r>
              <a:rPr lang="en-US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%</a:t>
            </a:r>
            <a:r>
              <a:rPr lang="zh-CN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）</a:t>
            </a:r>
            <a:endParaRPr lang="zh-CN" altLang="zh-CN" b="0">
              <a:effectLst/>
              <a:latin typeface="黑体" panose="02010609060101010101" pitchFamily="49" charset="-122"/>
              <a:ea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078430267772882"/>
          <c:y val="0.11156372794441158"/>
          <c:w val="0.81699922830999894"/>
          <c:h val="0.65095694514508806"/>
        </c:manualLayout>
      </c:layout>
      <c:lineChart>
        <c:grouping val="standard"/>
        <c:varyColors val="0"/>
        <c:ser>
          <c:idx val="0"/>
          <c:order val="0"/>
          <c:tx>
            <c:strRef>
              <c:f>工业!$A$2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工业!$B$1:$W$1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工业!$B$2:$O$2</c:f>
              <c:numCache>
                <c:formatCode>0.0_ </c:formatCode>
                <c:ptCount val="14"/>
                <c:pt idx="0">
                  <c:v>14.1</c:v>
                </c:pt>
                <c:pt idx="1">
                  <c:v>19.600000000000001</c:v>
                </c:pt>
                <c:pt idx="2">
                  <c:v>11.9</c:v>
                </c:pt>
                <c:pt idx="3">
                  <c:v>6.2</c:v>
                </c:pt>
                <c:pt idx="4">
                  <c:v>10.7</c:v>
                </c:pt>
                <c:pt idx="5">
                  <c:v>10.5</c:v>
                </c:pt>
                <c:pt idx="6">
                  <c:v>9.5</c:v>
                </c:pt>
                <c:pt idx="7">
                  <c:v>7.7</c:v>
                </c:pt>
                <c:pt idx="8">
                  <c:v>12.8</c:v>
                </c:pt>
                <c:pt idx="9">
                  <c:v>13</c:v>
                </c:pt>
                <c:pt idx="10">
                  <c:v>2.6</c:v>
                </c:pt>
                <c:pt idx="11">
                  <c:v>1.5</c:v>
                </c:pt>
                <c:pt idx="12">
                  <c:v>-13.9</c:v>
                </c:pt>
                <c:pt idx="13">
                  <c:v>-16.100000000000001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BEC-419B-9439-A7513009C42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628864"/>
        <c:axId val="518630400"/>
      </c:lineChart>
      <c:catAx>
        <c:axId val="51862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518630400"/>
        <c:crosses val="autoZero"/>
        <c:auto val="1"/>
        <c:lblAlgn val="ctr"/>
        <c:lblOffset val="100"/>
        <c:noMultiLvlLbl val="0"/>
      </c:catAx>
      <c:valAx>
        <c:axId val="51863040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5186288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defRPr>
            </a:pP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年以来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固定资产投资累计增速（</a:t>
            </a: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）</a:t>
            </a:r>
            <a:endParaRPr lang="zh-CN" altLang="zh-CN" sz="1400" b="0">
              <a:effectLst/>
              <a:latin typeface="黑体" panose="02010609060101010101" pitchFamily="49" charset="-122"/>
              <a:ea typeface="黑体" panose="02010609060101010101" pitchFamily="49" charset="-122"/>
              <a:cs typeface="黑体" panose="02010609060101010101" pitchFamily="49" charset="-122"/>
              <a:sym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25228913471068"/>
          <c:y val="0.132412469888985"/>
          <c:w val="0.81699922830999894"/>
          <c:h val="0.65977204102969023"/>
        </c:manualLayout>
      </c:layout>
      <c:lineChart>
        <c:grouping val="standard"/>
        <c:varyColors val="0"/>
        <c:ser>
          <c:idx val="0"/>
          <c:order val="0"/>
          <c:tx>
            <c:strRef>
              <c:f>固投!$A$2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固投!$B$1:$W$1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固投!$B$2:$O$2</c:f>
              <c:numCache>
                <c:formatCode>0.0_ </c:formatCode>
                <c:ptCount val="14"/>
                <c:pt idx="0">
                  <c:v>17.2</c:v>
                </c:pt>
                <c:pt idx="1">
                  <c:v>-9.6999999999999993</c:v>
                </c:pt>
                <c:pt idx="2">
                  <c:v>-8.9</c:v>
                </c:pt>
                <c:pt idx="3">
                  <c:v>-16.3</c:v>
                </c:pt>
                <c:pt idx="4">
                  <c:v>-36.700000000000003</c:v>
                </c:pt>
                <c:pt idx="5">
                  <c:v>-38.1</c:v>
                </c:pt>
                <c:pt idx="6">
                  <c:v>-44.4</c:v>
                </c:pt>
                <c:pt idx="7">
                  <c:v>-23.9</c:v>
                </c:pt>
                <c:pt idx="8">
                  <c:v>-34.200000000000003</c:v>
                </c:pt>
                <c:pt idx="9">
                  <c:v>-34.299999999999997</c:v>
                </c:pt>
                <c:pt idx="10">
                  <c:v>-35.5</c:v>
                </c:pt>
                <c:pt idx="11">
                  <c:v>5.0999999999999996</c:v>
                </c:pt>
                <c:pt idx="12">
                  <c:v>22.6</c:v>
                </c:pt>
                <c:pt idx="13">
                  <c:v>38.1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981-493B-9382-6353BBBF16E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695168"/>
        <c:axId val="240696704"/>
      </c:lineChart>
      <c:catAx>
        <c:axId val="240695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40696704"/>
        <c:crosses val="autoZero"/>
        <c:auto val="1"/>
        <c:lblAlgn val="ctr"/>
        <c:lblOffset val="100"/>
        <c:noMultiLvlLbl val="0"/>
      </c:catAx>
      <c:valAx>
        <c:axId val="24069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24069516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defRPr>
            </a:pP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年以来限额以上单位消费品零售额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累计增速（</a:t>
            </a: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）</a:t>
            </a:r>
            <a:endParaRPr lang="zh-CN" altLang="zh-CN" sz="1400" b="0">
              <a:effectLst/>
              <a:latin typeface="黑体" panose="02010609060101010101" pitchFamily="49" charset="-122"/>
              <a:ea typeface="黑体" panose="02010609060101010101" pitchFamily="49" charset="-122"/>
              <a:cs typeface="黑体" panose="02010609060101010101" pitchFamily="49" charset="-122"/>
              <a:sym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463660652283933"/>
          <c:y val="0.132412469888985"/>
          <c:w val="0.83846631278713479"/>
          <c:h val="0.66905937256596038"/>
        </c:manualLayout>
      </c:layout>
      <c:lineChart>
        <c:grouping val="standard"/>
        <c:varyColors val="0"/>
        <c:ser>
          <c:idx val="0"/>
          <c:order val="0"/>
          <c:tx>
            <c:strRef>
              <c:f>限上消费品零售!$A$2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限上消费品零售!$B$1:$W$1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限上消费品零售!$B$2:$O$2</c:f>
              <c:numCache>
                <c:formatCode>0.0_ </c:formatCode>
                <c:ptCount val="14"/>
                <c:pt idx="0">
                  <c:v>33.9</c:v>
                </c:pt>
                <c:pt idx="1">
                  <c:v>27.6</c:v>
                </c:pt>
                <c:pt idx="2">
                  <c:v>23.4</c:v>
                </c:pt>
                <c:pt idx="3">
                  <c:v>15.8</c:v>
                </c:pt>
                <c:pt idx="4">
                  <c:v>11.5</c:v>
                </c:pt>
                <c:pt idx="5">
                  <c:v>9.3000000000000007</c:v>
                </c:pt>
                <c:pt idx="6">
                  <c:v>8.8000000000000007</c:v>
                </c:pt>
                <c:pt idx="7">
                  <c:v>7.8</c:v>
                </c:pt>
                <c:pt idx="8">
                  <c:v>8.4</c:v>
                </c:pt>
                <c:pt idx="9">
                  <c:v>8.5</c:v>
                </c:pt>
                <c:pt idx="10">
                  <c:v>9.1999999999999993</c:v>
                </c:pt>
                <c:pt idx="11">
                  <c:v>-4.4000000000000004</c:v>
                </c:pt>
                <c:pt idx="12">
                  <c:v>-4.4000000000000004</c:v>
                </c:pt>
                <c:pt idx="13">
                  <c:v>-5.2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2FA-4BB9-963E-8BE0AF72490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904832"/>
        <c:axId val="526951168"/>
      </c:lineChart>
      <c:catAx>
        <c:axId val="5189048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526951168"/>
        <c:crosses val="autoZero"/>
        <c:auto val="1"/>
        <c:lblAlgn val="ctr"/>
        <c:lblOffset val="100"/>
        <c:noMultiLvlLbl val="0"/>
      </c:catAx>
      <c:valAx>
        <c:axId val="526951168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518904832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502</TotalTime>
  <Pages>3</Pages>
  <Words>71</Words>
  <Characters>411</Characters>
  <Application>Microsoft Office Word</Application>
  <DocSecurity>0</DocSecurity>
  <Lines>3</Lines>
  <Paragraphs>1</Paragraphs>
  <ScaleCrop>false</ScaleCrop>
  <Company>微软用户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209</cp:revision>
  <dcterms:created xsi:type="dcterms:W3CDTF">2017-05-31T03:13:00Z</dcterms:created>
  <dcterms:modified xsi:type="dcterms:W3CDTF">2024-05-23T04:24:00Z</dcterms:modified>
</cp:coreProperties>
</file>