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r w:rsidR="009F476C">
        <w:rPr>
          <w:rFonts w:eastAsia="黑体"/>
          <w:sz w:val="32"/>
        </w:rPr>
        <w:t>3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284.83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2.4</w:t>
            </w: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45.42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3.8</w:t>
            </w: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239.41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2.1</w:t>
            </w: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4D2C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-13.9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22.6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130.48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-1.1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52.68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811BFB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-4.4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15523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F476C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5.5</w:t>
            </w: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E13A5B" w:rsidRPr="00733212" w:rsidRDefault="00E13A5B" w:rsidP="00E13A5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一、地区生产总值</w:t>
      </w:r>
    </w:p>
    <w:p w:rsidR="001B6006" w:rsidRDefault="00E13A5B" w:rsidP="00E13A5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14EEC">
        <w:rPr>
          <w:rFonts w:eastAsia="仿宋_GB2312"/>
          <w:sz w:val="32"/>
          <w:szCs w:val="32"/>
        </w:rPr>
        <w:t>根据</w:t>
      </w:r>
      <w:r w:rsidRPr="00114EEC">
        <w:rPr>
          <w:rFonts w:eastAsia="仿宋_GB2312" w:hint="eastAsia"/>
          <w:sz w:val="32"/>
          <w:szCs w:val="32"/>
        </w:rPr>
        <w:t>地区</w:t>
      </w:r>
      <w:r w:rsidRPr="00114EEC">
        <w:rPr>
          <w:rFonts w:eastAsia="仿宋_GB2312"/>
          <w:sz w:val="32"/>
          <w:szCs w:val="32"/>
        </w:rPr>
        <w:t>生产总值统一核算结果，</w:t>
      </w:r>
      <w:r>
        <w:rPr>
          <w:rFonts w:eastAsia="仿宋_GB2312" w:hint="eastAsia"/>
          <w:sz w:val="32"/>
          <w:szCs w:val="32"/>
        </w:rPr>
        <w:t>一季度</w:t>
      </w:r>
      <w:r w:rsidRPr="00114EEC">
        <w:rPr>
          <w:rFonts w:eastAsia="仿宋_GB2312" w:hint="eastAsia"/>
          <w:sz w:val="32"/>
          <w:szCs w:val="32"/>
        </w:rPr>
        <w:t>，全区地区生产总值</w:t>
      </w:r>
      <w:r>
        <w:rPr>
          <w:rFonts w:eastAsia="仿宋_GB2312"/>
          <w:sz w:val="32"/>
          <w:szCs w:val="32"/>
        </w:rPr>
        <w:t>284.83</w:t>
      </w:r>
      <w:r w:rsidRPr="00114EEC">
        <w:rPr>
          <w:rFonts w:eastAsia="仿宋_GB2312" w:hint="eastAsia"/>
          <w:sz w:val="32"/>
          <w:szCs w:val="32"/>
        </w:rPr>
        <w:t>亿元，按不变</w:t>
      </w:r>
      <w:r w:rsidRPr="00114EEC">
        <w:rPr>
          <w:rFonts w:eastAsia="仿宋_GB2312"/>
          <w:sz w:val="32"/>
          <w:szCs w:val="32"/>
        </w:rPr>
        <w:t>价格计算，</w:t>
      </w:r>
      <w:r w:rsidRPr="00114EEC">
        <w:rPr>
          <w:rFonts w:eastAsia="仿宋_GB2312" w:hint="eastAsia"/>
          <w:sz w:val="32"/>
          <w:szCs w:val="32"/>
        </w:rPr>
        <w:t>同比增长</w:t>
      </w:r>
      <w:r>
        <w:rPr>
          <w:rFonts w:eastAsia="仿宋_GB2312"/>
          <w:sz w:val="32"/>
          <w:szCs w:val="32"/>
        </w:rPr>
        <w:t>2.4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，比</w:t>
      </w:r>
      <w:r>
        <w:rPr>
          <w:rFonts w:eastAsia="仿宋_GB2312" w:hint="eastAsia"/>
          <w:sz w:val="32"/>
          <w:szCs w:val="32"/>
        </w:rPr>
        <w:t>上年同期</w:t>
      </w:r>
      <w:r w:rsidRPr="00114EEC">
        <w:rPr>
          <w:rFonts w:eastAsia="仿宋_GB2312"/>
          <w:sz w:val="32"/>
          <w:szCs w:val="32"/>
        </w:rPr>
        <w:t>回</w:t>
      </w:r>
      <w:r>
        <w:rPr>
          <w:rFonts w:eastAsia="仿宋_GB2312" w:hint="eastAsia"/>
          <w:sz w:val="32"/>
          <w:szCs w:val="32"/>
        </w:rPr>
        <w:t>落</w:t>
      </w:r>
      <w:r>
        <w:rPr>
          <w:rFonts w:eastAsia="仿宋_GB2312"/>
          <w:sz w:val="32"/>
          <w:szCs w:val="32"/>
        </w:rPr>
        <w:t>6.1</w:t>
      </w:r>
      <w:r w:rsidRPr="00114EEC">
        <w:rPr>
          <w:rFonts w:eastAsia="仿宋_GB2312" w:hint="eastAsia"/>
          <w:sz w:val="32"/>
          <w:szCs w:val="32"/>
        </w:rPr>
        <w:t>个</w:t>
      </w:r>
      <w:r w:rsidRPr="00114EEC">
        <w:rPr>
          <w:rFonts w:eastAsia="仿宋_GB2312"/>
          <w:sz w:val="32"/>
          <w:szCs w:val="32"/>
        </w:rPr>
        <w:t>百分点</w:t>
      </w:r>
      <w:r w:rsidRPr="00114EEC">
        <w:rPr>
          <w:rFonts w:eastAsia="仿宋_GB2312" w:hint="eastAsia"/>
          <w:sz w:val="32"/>
          <w:szCs w:val="32"/>
        </w:rPr>
        <w:t>。分产业看，第二产业增加值</w:t>
      </w:r>
      <w:r>
        <w:rPr>
          <w:rFonts w:eastAsia="仿宋_GB2312"/>
          <w:sz w:val="32"/>
          <w:szCs w:val="32"/>
        </w:rPr>
        <w:t>45.42</w:t>
      </w:r>
      <w:r w:rsidRPr="00114EEC">
        <w:rPr>
          <w:rFonts w:eastAsia="仿宋_GB2312" w:hint="eastAsia"/>
          <w:sz w:val="32"/>
          <w:szCs w:val="32"/>
        </w:rPr>
        <w:t>亿元，同比</w:t>
      </w:r>
      <w:r>
        <w:rPr>
          <w:rFonts w:eastAsia="仿宋_GB2312" w:hint="eastAsia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8</w:t>
      </w:r>
      <w:r w:rsidRPr="00114EEC">
        <w:rPr>
          <w:rFonts w:eastAsia="仿宋_GB2312" w:hint="eastAsia"/>
          <w:sz w:val="32"/>
          <w:szCs w:val="32"/>
        </w:rPr>
        <w:t>%</w:t>
      </w:r>
      <w:r w:rsidRPr="00114EEC">
        <w:rPr>
          <w:rFonts w:eastAsia="仿宋_GB2312" w:hint="eastAsia"/>
          <w:color w:val="000000" w:themeColor="text1"/>
          <w:sz w:val="32"/>
          <w:szCs w:val="32"/>
        </w:rPr>
        <w:t>；</w:t>
      </w:r>
      <w:r w:rsidRPr="00114EEC">
        <w:rPr>
          <w:rFonts w:eastAsia="仿宋_GB2312" w:hint="eastAsia"/>
          <w:sz w:val="32"/>
          <w:szCs w:val="32"/>
        </w:rPr>
        <w:t>第三产业增加值</w:t>
      </w:r>
      <w:r>
        <w:rPr>
          <w:rFonts w:eastAsia="仿宋_GB2312"/>
          <w:sz w:val="32"/>
          <w:szCs w:val="32"/>
        </w:rPr>
        <w:t>239.41</w:t>
      </w:r>
      <w:r w:rsidRPr="00114EEC">
        <w:rPr>
          <w:rFonts w:eastAsia="仿宋_GB2312" w:hint="eastAsia"/>
          <w:sz w:val="32"/>
          <w:szCs w:val="32"/>
        </w:rPr>
        <w:t>亿元，同比增长</w:t>
      </w:r>
      <w:r>
        <w:rPr>
          <w:rFonts w:eastAsia="仿宋_GB2312"/>
          <w:sz w:val="32"/>
          <w:szCs w:val="32"/>
        </w:rPr>
        <w:t>2.1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。</w:t>
      </w:r>
    </w:p>
    <w:p w:rsidR="00E13A5B" w:rsidRDefault="00E13A5B" w:rsidP="00E13A5B">
      <w:pPr>
        <w:jc w:val="center"/>
        <w:rPr>
          <w:rFonts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039244D" wp14:editId="77D1226A">
            <wp:extent cx="5760085" cy="2952000"/>
            <wp:effectExtent l="0" t="0" r="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13A5B" w:rsidRPr="00733212" w:rsidRDefault="00E13A5B" w:rsidP="0040768D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二、规模以上工业增加值</w:t>
      </w:r>
    </w:p>
    <w:p w:rsidR="00E13A5B" w:rsidRPr="00E13A5B" w:rsidRDefault="00E13A5B" w:rsidP="0040768D">
      <w:pPr>
        <w:spacing w:line="560" w:lineRule="exact"/>
        <w:ind w:firstLineChars="221" w:firstLine="707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一季度</w:t>
      </w:r>
      <w:r w:rsidRPr="00E13A5B">
        <w:rPr>
          <w:rFonts w:eastAsia="仿宋_GB2312"/>
          <w:sz w:val="32"/>
          <w:szCs w:val="32"/>
        </w:rPr>
        <w:t>，</w:t>
      </w:r>
      <w:r w:rsidRPr="00E13A5B">
        <w:rPr>
          <w:rFonts w:eastAsia="仿宋_GB2312" w:hint="eastAsia"/>
          <w:sz w:val="32"/>
          <w:szCs w:val="32"/>
        </w:rPr>
        <w:t>全区规模以上</w:t>
      </w:r>
      <w:r w:rsidRPr="00E13A5B">
        <w:rPr>
          <w:rFonts w:eastAsia="仿宋_GB2312"/>
          <w:sz w:val="32"/>
          <w:szCs w:val="32"/>
        </w:rPr>
        <w:t>工业增加值</w:t>
      </w:r>
      <w:r w:rsidRPr="00E13A5B">
        <w:rPr>
          <w:rFonts w:eastAsia="仿宋_GB2312" w:hint="eastAsia"/>
          <w:sz w:val="32"/>
          <w:szCs w:val="32"/>
        </w:rPr>
        <w:t>同比</w:t>
      </w:r>
      <w:r>
        <w:rPr>
          <w:rFonts w:eastAsia="仿宋_GB2312" w:hint="eastAsia"/>
          <w:sz w:val="32"/>
          <w:szCs w:val="32"/>
        </w:rPr>
        <w:t>下降</w:t>
      </w:r>
      <w:r>
        <w:rPr>
          <w:rFonts w:eastAsia="仿宋_GB2312"/>
          <w:sz w:val="32"/>
          <w:szCs w:val="32"/>
        </w:rPr>
        <w:t>13.9</w:t>
      </w:r>
      <w:r w:rsidRPr="00E13A5B">
        <w:rPr>
          <w:rFonts w:eastAsia="仿宋_GB2312" w:hint="eastAsia"/>
          <w:sz w:val="32"/>
          <w:szCs w:val="32"/>
        </w:rPr>
        <w:t>%</w:t>
      </w:r>
      <w:r w:rsidRPr="00E13A5B">
        <w:rPr>
          <w:rFonts w:eastAsia="仿宋_GB2312" w:hint="eastAsia"/>
          <w:sz w:val="32"/>
          <w:szCs w:val="32"/>
        </w:rPr>
        <w:t>，</w:t>
      </w:r>
      <w:r w:rsidRPr="00E13A5B">
        <w:rPr>
          <w:rFonts w:eastAsia="仿宋_GB2312"/>
          <w:sz w:val="32"/>
          <w:szCs w:val="32"/>
        </w:rPr>
        <w:t>比</w:t>
      </w:r>
      <w:r>
        <w:rPr>
          <w:rFonts w:eastAsia="仿宋_GB2312" w:hint="eastAsia"/>
          <w:sz w:val="32"/>
          <w:szCs w:val="32"/>
        </w:rPr>
        <w:t>上年同期</w:t>
      </w:r>
      <w:r w:rsidRPr="00E13A5B">
        <w:rPr>
          <w:rFonts w:eastAsia="仿宋_GB2312" w:hint="eastAsia"/>
          <w:sz w:val="32"/>
          <w:szCs w:val="32"/>
        </w:rPr>
        <w:t>回落</w:t>
      </w:r>
      <w:r>
        <w:rPr>
          <w:rFonts w:eastAsia="仿宋_GB2312"/>
          <w:sz w:val="32"/>
          <w:szCs w:val="32"/>
        </w:rPr>
        <w:t>33.5</w:t>
      </w:r>
      <w:r w:rsidRPr="00E13A5B">
        <w:rPr>
          <w:rFonts w:eastAsia="仿宋_GB2312" w:hint="eastAsia"/>
          <w:sz w:val="32"/>
          <w:szCs w:val="32"/>
        </w:rPr>
        <w:t>个</w:t>
      </w:r>
      <w:r w:rsidRPr="00E13A5B">
        <w:rPr>
          <w:rFonts w:eastAsia="仿宋_GB2312"/>
          <w:sz w:val="32"/>
          <w:szCs w:val="32"/>
        </w:rPr>
        <w:t>百分点</w:t>
      </w:r>
      <w:r w:rsidRPr="00E13A5B">
        <w:rPr>
          <w:rFonts w:eastAsia="仿宋_GB2312" w:hint="eastAsia"/>
          <w:sz w:val="32"/>
          <w:szCs w:val="32"/>
        </w:rPr>
        <w:t>。</w:t>
      </w:r>
    </w:p>
    <w:p w:rsidR="0052664B" w:rsidRPr="001B6006" w:rsidRDefault="00E13A5B" w:rsidP="00E13A5B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3F65F2D" wp14:editId="3C2FEE03">
            <wp:extent cx="5760085" cy="2952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0768D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三、固定资产投资</w:t>
      </w:r>
    </w:p>
    <w:p w:rsidR="00C97900" w:rsidRPr="009913DF" w:rsidRDefault="00B70568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一季度</w:t>
      </w:r>
      <w:r w:rsidRPr="00B70568">
        <w:rPr>
          <w:rFonts w:eastAsia="仿宋_GB2312" w:hint="eastAsia"/>
          <w:sz w:val="32"/>
          <w:szCs w:val="32"/>
        </w:rPr>
        <w:t>，全区固定资产投资同比</w:t>
      </w:r>
      <w:r>
        <w:rPr>
          <w:rFonts w:eastAsia="仿宋_GB2312" w:hint="eastAsia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22.6</w:t>
      </w:r>
      <w:r w:rsidRPr="00B70568">
        <w:rPr>
          <w:rFonts w:eastAsia="仿宋_GB2312" w:hint="eastAsia"/>
          <w:sz w:val="32"/>
          <w:szCs w:val="32"/>
        </w:rPr>
        <w:t>%</w:t>
      </w:r>
      <w:r w:rsidRPr="00B70568">
        <w:rPr>
          <w:rFonts w:eastAsia="仿宋_GB2312" w:hint="eastAsia"/>
          <w:sz w:val="32"/>
          <w:szCs w:val="32"/>
        </w:rPr>
        <w:t>，</w:t>
      </w:r>
      <w:r w:rsidRPr="007C5587">
        <w:rPr>
          <w:rFonts w:eastAsia="仿宋_GB2312" w:hint="eastAsia"/>
          <w:kern w:val="0"/>
          <w:sz w:val="32"/>
          <w:szCs w:val="32"/>
        </w:rPr>
        <w:t>比</w:t>
      </w:r>
      <w:r w:rsidRPr="007C5587">
        <w:rPr>
          <w:rFonts w:eastAsia="仿宋_GB2312"/>
          <w:kern w:val="0"/>
          <w:sz w:val="32"/>
          <w:szCs w:val="32"/>
        </w:rPr>
        <w:t>上年同期</w:t>
      </w:r>
      <w:r>
        <w:rPr>
          <w:rFonts w:eastAsia="仿宋_GB2312" w:hint="eastAsia"/>
          <w:sz w:val="32"/>
          <w:szCs w:val="32"/>
        </w:rPr>
        <w:t>回升</w:t>
      </w:r>
      <w:r>
        <w:rPr>
          <w:rFonts w:eastAsia="仿宋_GB2312"/>
          <w:sz w:val="32"/>
          <w:szCs w:val="32"/>
        </w:rPr>
        <w:t>32.3</w:t>
      </w:r>
      <w:r w:rsidRPr="00B70568">
        <w:rPr>
          <w:rFonts w:eastAsia="仿宋_GB2312" w:hint="eastAsia"/>
          <w:sz w:val="32"/>
          <w:szCs w:val="32"/>
        </w:rPr>
        <w:t>个百分点。其中，民间投资同比</w:t>
      </w:r>
      <w:r>
        <w:rPr>
          <w:rFonts w:eastAsia="仿宋_GB2312" w:hint="eastAsia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33.7</w:t>
      </w:r>
      <w:r w:rsidRPr="00B70568">
        <w:rPr>
          <w:rFonts w:eastAsia="仿宋_GB2312" w:hint="eastAsia"/>
          <w:sz w:val="32"/>
          <w:szCs w:val="32"/>
        </w:rPr>
        <w:t>%</w:t>
      </w:r>
      <w:r w:rsidRPr="00B70568">
        <w:rPr>
          <w:rFonts w:eastAsia="仿宋_GB2312" w:hint="eastAsia"/>
          <w:sz w:val="32"/>
          <w:szCs w:val="32"/>
        </w:rPr>
        <w:t>。</w:t>
      </w:r>
    </w:p>
    <w:p w:rsidR="0052664B" w:rsidRPr="0052664B" w:rsidRDefault="00641B25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8021A6D" wp14:editId="6A90299F">
            <wp:extent cx="5760085" cy="2952000"/>
            <wp:effectExtent l="0" t="0" r="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41B25" w:rsidRPr="00733212" w:rsidRDefault="00641B25" w:rsidP="00641B25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四、社会消费品零售总额</w:t>
      </w:r>
    </w:p>
    <w:p w:rsidR="00C97900" w:rsidRPr="00114EEC" w:rsidRDefault="00641B25" w:rsidP="00641B25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一季度</w:t>
      </w:r>
      <w:r w:rsidRPr="00B42DAB">
        <w:rPr>
          <w:rFonts w:eastAsia="仿宋_GB2312" w:hint="eastAsia"/>
          <w:sz w:val="32"/>
          <w:szCs w:val="32"/>
        </w:rPr>
        <w:t>，</w:t>
      </w:r>
      <w:r w:rsidRPr="00114EEC">
        <w:rPr>
          <w:rFonts w:eastAsia="仿宋_GB2312" w:hint="eastAsia"/>
          <w:sz w:val="32"/>
          <w:szCs w:val="32"/>
        </w:rPr>
        <w:t>全区社会</w:t>
      </w:r>
      <w:r w:rsidRPr="00114EEC">
        <w:rPr>
          <w:rFonts w:eastAsia="仿宋_GB2312"/>
          <w:sz w:val="32"/>
          <w:szCs w:val="32"/>
        </w:rPr>
        <w:t>消费品零售总额</w:t>
      </w:r>
      <w:r w:rsidR="00BA2D05">
        <w:rPr>
          <w:rFonts w:eastAsia="仿宋_GB2312"/>
          <w:sz w:val="32"/>
          <w:szCs w:val="32"/>
        </w:rPr>
        <w:t>130.48</w:t>
      </w:r>
      <w:r w:rsidRPr="00114EEC">
        <w:rPr>
          <w:rFonts w:eastAsia="仿宋_GB2312" w:hint="eastAsia"/>
          <w:sz w:val="32"/>
          <w:szCs w:val="32"/>
        </w:rPr>
        <w:t>亿元</w:t>
      </w:r>
      <w:r w:rsidRPr="00114EEC">
        <w:rPr>
          <w:rFonts w:eastAsia="仿宋_GB2312"/>
          <w:sz w:val="32"/>
          <w:szCs w:val="32"/>
        </w:rPr>
        <w:t>，同比</w:t>
      </w:r>
      <w:r w:rsidR="00BA2D05">
        <w:rPr>
          <w:rFonts w:eastAsia="仿宋_GB2312" w:hint="eastAsia"/>
          <w:sz w:val="32"/>
          <w:szCs w:val="32"/>
        </w:rPr>
        <w:t>下降</w:t>
      </w:r>
      <w:r w:rsidR="00BA2D05"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.1</w:t>
      </w:r>
      <w:r w:rsidRPr="00114EEC">
        <w:rPr>
          <w:rFonts w:eastAsia="仿宋_GB2312" w:hint="eastAsia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，</w:t>
      </w:r>
      <w:r w:rsidRPr="00B42DAB">
        <w:rPr>
          <w:rFonts w:eastAsia="仿宋_GB2312" w:hint="eastAsia"/>
          <w:sz w:val="32"/>
          <w:szCs w:val="32"/>
        </w:rPr>
        <w:t>比</w:t>
      </w:r>
      <w:r w:rsidR="00BA2D05" w:rsidRPr="00B01CF1">
        <w:rPr>
          <w:rFonts w:eastAsia="仿宋_GB2312"/>
          <w:sz w:val="32"/>
          <w:szCs w:val="32"/>
        </w:rPr>
        <w:t>上年同期</w:t>
      </w:r>
      <w:r w:rsidRPr="00B42DAB">
        <w:rPr>
          <w:rFonts w:eastAsia="仿宋_GB2312" w:hint="eastAsia"/>
          <w:sz w:val="32"/>
          <w:szCs w:val="32"/>
        </w:rPr>
        <w:t>回</w:t>
      </w:r>
      <w:r w:rsidR="00BA2D05">
        <w:rPr>
          <w:rFonts w:eastAsia="仿宋_GB2312" w:hint="eastAsia"/>
          <w:sz w:val="32"/>
          <w:szCs w:val="32"/>
        </w:rPr>
        <w:t>落</w:t>
      </w:r>
      <w:r w:rsidR="00BA2D05">
        <w:rPr>
          <w:rFonts w:eastAsia="仿宋_GB2312"/>
          <w:sz w:val="32"/>
          <w:szCs w:val="32"/>
        </w:rPr>
        <w:t>18.6</w:t>
      </w:r>
      <w:r w:rsidRPr="00B42DAB">
        <w:rPr>
          <w:rFonts w:eastAsia="仿宋_GB2312" w:hint="eastAsia"/>
          <w:sz w:val="32"/>
          <w:szCs w:val="32"/>
        </w:rPr>
        <w:t>个百分点。</w:t>
      </w:r>
      <w:r w:rsidRPr="00114EEC">
        <w:rPr>
          <w:rFonts w:eastAsia="仿宋_GB2312" w:hint="eastAsia"/>
          <w:sz w:val="32"/>
          <w:szCs w:val="32"/>
        </w:rPr>
        <w:t>其中，限额以上</w:t>
      </w:r>
      <w:r>
        <w:rPr>
          <w:rFonts w:eastAsia="仿宋_GB2312" w:hint="eastAsia"/>
          <w:sz w:val="32"/>
          <w:szCs w:val="32"/>
        </w:rPr>
        <w:t>单位</w:t>
      </w:r>
      <w:r w:rsidRPr="00114EEC">
        <w:rPr>
          <w:rFonts w:eastAsia="仿宋_GB2312" w:hint="eastAsia"/>
          <w:sz w:val="32"/>
          <w:szCs w:val="32"/>
        </w:rPr>
        <w:t>消费品零售额</w:t>
      </w:r>
      <w:r w:rsidR="00BA2D05">
        <w:rPr>
          <w:rFonts w:eastAsia="仿宋_GB2312"/>
          <w:sz w:val="32"/>
          <w:szCs w:val="32"/>
        </w:rPr>
        <w:t>52.68</w:t>
      </w:r>
      <w:r w:rsidRPr="00114EEC">
        <w:rPr>
          <w:rFonts w:eastAsia="仿宋_GB2312" w:hint="eastAsia"/>
          <w:sz w:val="32"/>
          <w:szCs w:val="32"/>
        </w:rPr>
        <w:t>亿元，同比</w:t>
      </w:r>
      <w:r w:rsidR="00BA2D05">
        <w:rPr>
          <w:rFonts w:eastAsia="仿宋_GB2312" w:hint="eastAsia"/>
          <w:sz w:val="32"/>
          <w:szCs w:val="32"/>
        </w:rPr>
        <w:t>下降</w:t>
      </w:r>
      <w:r w:rsidR="00BA2D05">
        <w:rPr>
          <w:rFonts w:eastAsia="仿宋_GB2312"/>
          <w:sz w:val="32"/>
          <w:szCs w:val="32"/>
        </w:rPr>
        <w:t>4.4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，比</w:t>
      </w:r>
      <w:r w:rsidR="00BA2D05" w:rsidRPr="00B01CF1">
        <w:rPr>
          <w:rFonts w:eastAsia="仿宋_GB2312"/>
          <w:sz w:val="32"/>
          <w:szCs w:val="32"/>
        </w:rPr>
        <w:t>上年同期</w:t>
      </w:r>
      <w:r>
        <w:rPr>
          <w:rFonts w:eastAsia="仿宋_GB2312" w:hint="eastAsia"/>
          <w:sz w:val="32"/>
          <w:szCs w:val="32"/>
        </w:rPr>
        <w:t>回</w:t>
      </w:r>
      <w:r w:rsidR="00BA2D05">
        <w:rPr>
          <w:rFonts w:eastAsia="仿宋_GB2312" w:hint="eastAsia"/>
          <w:sz w:val="32"/>
          <w:szCs w:val="32"/>
        </w:rPr>
        <w:t>落</w:t>
      </w:r>
      <w:r w:rsidR="00BA2D05">
        <w:rPr>
          <w:rFonts w:eastAsia="仿宋_GB2312"/>
          <w:sz w:val="32"/>
          <w:szCs w:val="32"/>
        </w:rPr>
        <w:t>32.0</w:t>
      </w:r>
      <w:r w:rsidRPr="00114EEC">
        <w:rPr>
          <w:rFonts w:eastAsia="仿宋_GB2312" w:hint="eastAsia"/>
          <w:sz w:val="32"/>
          <w:szCs w:val="32"/>
        </w:rPr>
        <w:t>个百分点。</w:t>
      </w:r>
      <w:r w:rsidRPr="00A8635C">
        <w:rPr>
          <w:rFonts w:eastAsia="仿宋_GB2312" w:hint="eastAsia"/>
          <w:sz w:val="32"/>
          <w:szCs w:val="32"/>
        </w:rPr>
        <w:t>按</w:t>
      </w:r>
      <w:r w:rsidRPr="00A8635C">
        <w:rPr>
          <w:rFonts w:eastAsia="仿宋_GB2312"/>
          <w:sz w:val="32"/>
          <w:szCs w:val="32"/>
        </w:rPr>
        <w:t>消费形态</w:t>
      </w:r>
      <w:r w:rsidRPr="00A8635C">
        <w:rPr>
          <w:rFonts w:eastAsia="仿宋_GB2312" w:hint="eastAsia"/>
          <w:sz w:val="32"/>
          <w:szCs w:val="32"/>
        </w:rPr>
        <w:t>分</w:t>
      </w:r>
      <w:r w:rsidRPr="00A8635C">
        <w:rPr>
          <w:rFonts w:eastAsia="仿宋_GB2312"/>
          <w:sz w:val="32"/>
          <w:szCs w:val="32"/>
        </w:rPr>
        <w:t>，商品零售同比</w:t>
      </w:r>
      <w:r w:rsidR="005F49CC">
        <w:rPr>
          <w:rFonts w:eastAsia="仿宋_GB2312" w:hint="eastAsia"/>
          <w:sz w:val="32"/>
          <w:szCs w:val="32"/>
        </w:rPr>
        <w:t>下降</w:t>
      </w:r>
      <w:r w:rsidRPr="00A8635C">
        <w:rPr>
          <w:rFonts w:eastAsia="仿宋_GB2312"/>
          <w:sz w:val="32"/>
          <w:szCs w:val="32"/>
        </w:rPr>
        <w:t>5.</w:t>
      </w:r>
      <w:r w:rsidR="005F49CC">
        <w:rPr>
          <w:rFonts w:eastAsia="仿宋_GB2312"/>
          <w:sz w:val="32"/>
          <w:szCs w:val="32"/>
        </w:rPr>
        <w:t>6</w:t>
      </w:r>
      <w:r w:rsidRPr="00A8635C">
        <w:rPr>
          <w:rFonts w:eastAsia="仿宋_GB2312"/>
          <w:sz w:val="32"/>
          <w:szCs w:val="32"/>
        </w:rPr>
        <w:t>%</w:t>
      </w:r>
      <w:r w:rsidRPr="00A8635C">
        <w:rPr>
          <w:rFonts w:eastAsia="仿宋_GB2312" w:hint="eastAsia"/>
          <w:sz w:val="32"/>
          <w:szCs w:val="32"/>
        </w:rPr>
        <w:t>，</w:t>
      </w:r>
      <w:r w:rsidRPr="00A8635C">
        <w:rPr>
          <w:rFonts w:eastAsia="仿宋_GB2312"/>
          <w:sz w:val="32"/>
          <w:szCs w:val="32"/>
        </w:rPr>
        <w:t>餐饮收入同比</w:t>
      </w:r>
      <w:r w:rsidRPr="00A8635C">
        <w:rPr>
          <w:rFonts w:eastAsia="仿宋_GB2312" w:hint="eastAsia"/>
          <w:sz w:val="32"/>
          <w:szCs w:val="32"/>
        </w:rPr>
        <w:t>增长</w:t>
      </w:r>
      <w:r w:rsidR="005F49CC">
        <w:rPr>
          <w:rFonts w:eastAsia="仿宋_GB2312"/>
          <w:sz w:val="32"/>
          <w:szCs w:val="32"/>
        </w:rPr>
        <w:t>5.2</w:t>
      </w:r>
      <w:r w:rsidRPr="00A8635C">
        <w:rPr>
          <w:rFonts w:eastAsia="仿宋_GB2312"/>
          <w:sz w:val="32"/>
          <w:szCs w:val="32"/>
        </w:rPr>
        <w:t>%</w:t>
      </w:r>
      <w:r w:rsidRPr="00A8635C">
        <w:rPr>
          <w:rFonts w:eastAsia="仿宋_GB2312" w:hint="eastAsia"/>
          <w:sz w:val="32"/>
          <w:szCs w:val="32"/>
        </w:rPr>
        <w:t>。</w:t>
      </w:r>
    </w:p>
    <w:p w:rsidR="0052664B" w:rsidRDefault="00B01CF1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41FE253" wp14:editId="751F0F87">
            <wp:extent cx="5760085" cy="2952000"/>
            <wp:effectExtent l="0" t="0" r="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01CF1" w:rsidRDefault="00B01CF1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A7B91B8" wp14:editId="4F71701A">
            <wp:extent cx="5760085" cy="2952000"/>
            <wp:effectExtent l="0" t="0" r="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01CF1" w:rsidRPr="00B01CF1" w:rsidRDefault="00B01CF1" w:rsidP="00B01CF1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五、城镇常住居民人均可支配收入</w:t>
      </w:r>
    </w:p>
    <w:p w:rsidR="00B01CF1" w:rsidRDefault="00B01CF1" w:rsidP="00B01CF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一季度</w:t>
      </w:r>
      <w:r w:rsidRPr="00114EEC">
        <w:rPr>
          <w:rFonts w:eastAsia="仿宋_GB2312"/>
          <w:sz w:val="32"/>
          <w:szCs w:val="32"/>
        </w:rPr>
        <w:t>，全区城镇居民人均可支配收入</w:t>
      </w:r>
      <w:r>
        <w:rPr>
          <w:rFonts w:eastAsia="仿宋_GB2312"/>
          <w:sz w:val="32"/>
          <w:szCs w:val="32"/>
        </w:rPr>
        <w:t>15523</w:t>
      </w:r>
      <w:r w:rsidRPr="00114EEC">
        <w:rPr>
          <w:rFonts w:eastAsia="仿宋_GB2312" w:hint="eastAsia"/>
          <w:sz w:val="32"/>
          <w:szCs w:val="32"/>
        </w:rPr>
        <w:t>元</w:t>
      </w:r>
      <w:bookmarkStart w:id="0" w:name="_GoBack"/>
      <w:bookmarkEnd w:id="0"/>
      <w:r w:rsidRPr="00114EEC">
        <w:rPr>
          <w:rFonts w:eastAsia="仿宋_GB2312"/>
          <w:sz w:val="32"/>
          <w:szCs w:val="32"/>
        </w:rPr>
        <w:t>，同比名义增长</w:t>
      </w: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5</w:t>
      </w:r>
      <w:r w:rsidRPr="00114EEC">
        <w:rPr>
          <w:rFonts w:eastAsia="仿宋_GB2312"/>
          <w:sz w:val="32"/>
          <w:szCs w:val="32"/>
        </w:rPr>
        <w:t>%</w:t>
      </w:r>
      <w:r w:rsidRPr="00114EEC">
        <w:rPr>
          <w:rFonts w:eastAsia="仿宋_GB2312" w:hint="eastAsia"/>
          <w:sz w:val="32"/>
          <w:szCs w:val="32"/>
        </w:rPr>
        <w:t>，比</w:t>
      </w:r>
      <w:r>
        <w:rPr>
          <w:rFonts w:eastAsia="仿宋_GB2312" w:hint="eastAsia"/>
          <w:sz w:val="32"/>
          <w:szCs w:val="32"/>
        </w:rPr>
        <w:t>上年同期提高</w:t>
      </w:r>
      <w:r>
        <w:rPr>
          <w:rFonts w:eastAsia="仿宋_GB2312"/>
          <w:sz w:val="32"/>
          <w:szCs w:val="32"/>
        </w:rPr>
        <w:t>0.1</w:t>
      </w:r>
      <w:r w:rsidRPr="00114EEC">
        <w:rPr>
          <w:rFonts w:eastAsia="仿宋_GB2312" w:hint="eastAsia"/>
          <w:sz w:val="32"/>
          <w:szCs w:val="32"/>
        </w:rPr>
        <w:t>个百分点。</w:t>
      </w:r>
    </w:p>
    <w:p w:rsidR="00225261" w:rsidRPr="00225261" w:rsidRDefault="00225261" w:rsidP="00225261">
      <w:pPr>
        <w:rPr>
          <w:rFonts w:eastAsia="仿宋_GB2312" w:hint="eastAsia"/>
          <w:sz w:val="32"/>
          <w:szCs w:val="32"/>
        </w:rPr>
      </w:pPr>
      <w:r>
        <w:rPr>
          <w:noProof/>
        </w:rPr>
        <w:drawing>
          <wp:inline distT="0" distB="0" distL="0" distR="0" wp14:anchorId="469F42F5" wp14:editId="15F1D666">
            <wp:extent cx="5760085" cy="2952000"/>
            <wp:effectExtent l="0" t="0" r="0" b="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225261" w:rsidRPr="00225261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16EF" w:rsidRDefault="005216EF" w:rsidP="00B5357C">
      <w:r>
        <w:separator/>
      </w:r>
    </w:p>
  </w:endnote>
  <w:endnote w:type="continuationSeparator" w:id="0">
    <w:p w:rsidR="005216EF" w:rsidRDefault="005216EF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16EF" w:rsidRDefault="005216EF" w:rsidP="00B5357C">
      <w:r>
        <w:separator/>
      </w:r>
    </w:p>
  </w:footnote>
  <w:footnote w:type="continuationSeparator" w:id="0">
    <w:p w:rsidR="005216EF" w:rsidRDefault="005216EF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25261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0768D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16EF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49CC"/>
    <w:rsid w:val="005F5B53"/>
    <w:rsid w:val="00603C0D"/>
    <w:rsid w:val="00612F8C"/>
    <w:rsid w:val="006333B7"/>
    <w:rsid w:val="00641B25"/>
    <w:rsid w:val="006437FB"/>
    <w:rsid w:val="00646946"/>
    <w:rsid w:val="00653750"/>
    <w:rsid w:val="00656019"/>
    <w:rsid w:val="0069091E"/>
    <w:rsid w:val="006A09A1"/>
    <w:rsid w:val="006F0A9A"/>
    <w:rsid w:val="00702784"/>
    <w:rsid w:val="00706B36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1588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31BA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B262B"/>
    <w:rsid w:val="009E0428"/>
    <w:rsid w:val="009E7FE7"/>
    <w:rsid w:val="009F2F26"/>
    <w:rsid w:val="009F476C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01CF1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0568"/>
    <w:rsid w:val="00B73BD3"/>
    <w:rsid w:val="00B802E0"/>
    <w:rsid w:val="00B97143"/>
    <w:rsid w:val="00BA057F"/>
    <w:rsid w:val="00BA2D05"/>
    <w:rsid w:val="00BB440C"/>
    <w:rsid w:val="00BD0954"/>
    <w:rsid w:val="00BE0060"/>
    <w:rsid w:val="00BE6E0C"/>
    <w:rsid w:val="00BF66BF"/>
    <w:rsid w:val="00C1799D"/>
    <w:rsid w:val="00C22024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6498F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13A5B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A5157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3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年以来地区生产总值累计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9270070039263554"/>
          <c:y val="0.12988297396560369"/>
          <c:w val="0.75447011632640837"/>
          <c:h val="0.49448039627576673"/>
        </c:manualLayout>
      </c:layout>
      <c:lineChart>
        <c:grouping val="standard"/>
        <c:varyColors val="0"/>
        <c:ser>
          <c:idx val="0"/>
          <c:order val="0"/>
          <c:tx>
            <c:strRef>
              <c:f>GDP!$A$2</c:f>
              <c:strCache>
                <c:ptCount val="1"/>
                <c:pt idx="0">
                  <c:v>地区生产总值</c:v>
                </c:pt>
              </c:strCache>
            </c:strRef>
          </c:tx>
          <c:marker>
            <c:symbol val="circle"/>
            <c:size val="5"/>
          </c:marker>
          <c:cat>
            <c:strRef>
              <c:f>GDP!$B$1:$F$1</c:f>
              <c:strCache>
                <c:ptCount val="5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</c:strCache>
            </c:strRef>
          </c:cat>
          <c:val>
            <c:numRef>
              <c:f>GDP!$B$2:$F$2</c:f>
              <c:numCache>
                <c:formatCode>0.0_ </c:formatCode>
                <c:ptCount val="5"/>
                <c:pt idx="0">
                  <c:v>8.5</c:v>
                </c:pt>
                <c:pt idx="1">
                  <c:v>7.4</c:v>
                </c:pt>
                <c:pt idx="2">
                  <c:v>4.2</c:v>
                </c:pt>
                <c:pt idx="3">
                  <c:v>4.3</c:v>
                </c:pt>
                <c:pt idx="4">
                  <c:v>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090-43F9-AA21-1BEAB1246154}"/>
            </c:ext>
          </c:extLst>
        </c:ser>
        <c:ser>
          <c:idx val="1"/>
          <c:order val="1"/>
          <c:tx>
            <c:strRef>
              <c:f>GDP!$A$3</c:f>
              <c:strCache>
                <c:ptCount val="1"/>
                <c:pt idx="0">
                  <c:v>第二产业</c:v>
                </c:pt>
              </c:strCache>
            </c:strRef>
          </c:tx>
          <c:cat>
            <c:strRef>
              <c:f>GDP!$B$1:$F$1</c:f>
              <c:strCache>
                <c:ptCount val="5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</c:strCache>
            </c:strRef>
          </c:cat>
          <c:val>
            <c:numRef>
              <c:f>GDP!$B$3:$F$3</c:f>
              <c:numCache>
                <c:formatCode>0.0_ </c:formatCode>
                <c:ptCount val="5"/>
                <c:pt idx="0">
                  <c:v>12</c:v>
                </c:pt>
                <c:pt idx="1">
                  <c:v>7.4</c:v>
                </c:pt>
                <c:pt idx="2">
                  <c:v>-2.2000000000000002</c:v>
                </c:pt>
                <c:pt idx="3">
                  <c:v>3.9</c:v>
                </c:pt>
                <c:pt idx="4">
                  <c:v>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090-43F9-AA21-1BEAB1246154}"/>
            </c:ext>
          </c:extLst>
        </c:ser>
        <c:ser>
          <c:idx val="2"/>
          <c:order val="2"/>
          <c:tx>
            <c:strRef>
              <c:f>GDP!$A$4</c:f>
              <c:strCache>
                <c:ptCount val="1"/>
                <c:pt idx="0">
                  <c:v>第三产业</c:v>
                </c:pt>
              </c:strCache>
            </c:strRef>
          </c:tx>
          <c:cat>
            <c:strRef>
              <c:f>GDP!$B$1:$F$1</c:f>
              <c:strCache>
                <c:ptCount val="5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</c:strCache>
            </c:strRef>
          </c:cat>
          <c:val>
            <c:numRef>
              <c:f>GDP!$B$4:$F$4</c:f>
              <c:numCache>
                <c:formatCode>0.0_ </c:formatCode>
                <c:ptCount val="5"/>
                <c:pt idx="0">
                  <c:v>7.9</c:v>
                </c:pt>
                <c:pt idx="1">
                  <c:v>7.4</c:v>
                </c:pt>
                <c:pt idx="2">
                  <c:v>5.8</c:v>
                </c:pt>
                <c:pt idx="3">
                  <c:v>4.3</c:v>
                </c:pt>
                <c:pt idx="4">
                  <c:v>2.1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090-43F9-AA21-1BEAB12461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4382208"/>
        <c:axId val="184570240"/>
      </c:lineChart>
      <c:catAx>
        <c:axId val="1843822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84570240"/>
        <c:crosses val="autoZero"/>
        <c:auto val="1"/>
        <c:lblAlgn val="ctr"/>
        <c:lblOffset val="100"/>
        <c:noMultiLvlLbl val="0"/>
      </c:catAx>
      <c:valAx>
        <c:axId val="18457024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184382208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6095248594421785"/>
          <c:y val="0.13738124601894644"/>
          <c:w val="0.81479439973542056"/>
          <c:h val="0.58921930692398394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工业!$B$2:$N$2</c:f>
              <c:numCache>
                <c:formatCode>0.0_ </c:formatCode>
                <c:ptCount val="13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A78-44FF-9D02-1FEA216BF3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78613162826590233"/>
          <c:h val="0.63464657958217652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固投!$B$2:$N$2</c:f>
              <c:numCache>
                <c:formatCode>0.0_ </c:formatCode>
                <c:ptCount val="13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  <c:pt idx="12">
                  <c:v>22.6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53C-4DFB-9439-55E6FE4900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年以来社会消费品零售总额累计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5332362930616206"/>
          <c:y val="0.13241246988898503"/>
          <c:w val="0.80145985401459852"/>
          <c:h val="0.683103047400342"/>
        </c:manualLayout>
      </c:layout>
      <c:lineChart>
        <c:grouping val="standard"/>
        <c:varyColors val="0"/>
        <c:ser>
          <c:idx val="0"/>
          <c:order val="0"/>
          <c:tx>
            <c:strRef>
              <c:f>社消!$A$2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社消!$B$1:$F$1</c:f>
              <c:strCache>
                <c:ptCount val="5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</c:strCache>
            </c:strRef>
          </c:cat>
          <c:val>
            <c:numRef>
              <c:f>社消!$B$2:$F$2</c:f>
              <c:numCache>
                <c:formatCode>0.0_ </c:formatCode>
                <c:ptCount val="5"/>
                <c:pt idx="0">
                  <c:v>17.5</c:v>
                </c:pt>
                <c:pt idx="1">
                  <c:v>11.7</c:v>
                </c:pt>
                <c:pt idx="2">
                  <c:v>7</c:v>
                </c:pt>
                <c:pt idx="3">
                  <c:v>7.1</c:v>
                </c:pt>
                <c:pt idx="4">
                  <c:v>-1.1000000000000001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C48-45D1-A644-CF57BD1CCA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489216"/>
        <c:axId val="139976704"/>
      </c:lineChart>
      <c:catAx>
        <c:axId val="136489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39976704"/>
        <c:crosses val="autoZero"/>
        <c:auto val="1"/>
        <c:lblAlgn val="ctr"/>
        <c:lblOffset val="100"/>
        <c:noMultiLvlLbl val="0"/>
      </c:catAx>
      <c:valAx>
        <c:axId val="13997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136489216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0801326791982327"/>
          <c:w val="0.80022048285745784"/>
          <c:h val="0.6650151788255384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限上消费品零售!$B$2:$N$2</c:f>
              <c:numCache>
                <c:formatCode>0.0_ </c:formatCode>
                <c:ptCount val="13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  <c:pt idx="12">
                  <c:v>-4.4000000000000004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374-483B-8ECD-9EFDFCA4AB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年以来城镇居民人均可支配收入累计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itchFamily="49" charset="-122"/>
                <a:ea typeface="黑体" pitchFamily="49" charset="-122"/>
              </a:rPr>
              <a:t>）</a:t>
            </a:r>
            <a:endParaRPr lang="zh-CN" altLang="en-US" sz="1400" b="0">
              <a:latin typeface="黑体" pitchFamily="49" charset="-122"/>
              <a:ea typeface="黑体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8337975858867223"/>
          <c:y val="0.13241246988898503"/>
          <c:w val="0.79340761374187563"/>
          <c:h val="0.64555953494318974"/>
        </c:manualLayout>
      </c:layout>
      <c:lineChart>
        <c:grouping val="standard"/>
        <c:varyColors val="0"/>
        <c:ser>
          <c:idx val="0"/>
          <c:order val="0"/>
          <c:tx>
            <c:strRef>
              <c:f>收入!$A$2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收入!$B$1:$F$1</c:f>
              <c:strCache>
                <c:ptCount val="5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</c:strCache>
            </c:strRef>
          </c:cat>
          <c:val>
            <c:numRef>
              <c:f>收入!$B$2:$F$2</c:f>
              <c:numCache>
                <c:formatCode>0.0_ </c:formatCode>
                <c:ptCount val="5"/>
                <c:pt idx="0">
                  <c:v>5.4</c:v>
                </c:pt>
                <c:pt idx="1">
                  <c:v>5.5</c:v>
                </c:pt>
                <c:pt idx="2">
                  <c:v>6</c:v>
                </c:pt>
                <c:pt idx="3">
                  <c:v>5.9</c:v>
                </c:pt>
                <c:pt idx="4">
                  <c:v>5.5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2F9-4D05-8D99-627AC22134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774528"/>
        <c:axId val="214776064"/>
      </c:lineChart>
      <c:catAx>
        <c:axId val="214774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214776064"/>
        <c:crosses val="autoZero"/>
        <c:auto val="1"/>
        <c:lblAlgn val="ctr"/>
        <c:lblOffset val="100"/>
        <c:noMultiLvlLbl val="0"/>
      </c:catAx>
      <c:valAx>
        <c:axId val="21477606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14774528"/>
        <c:crosses val="autoZero"/>
        <c:crossBetween val="between"/>
      </c:valAx>
      <c:dTable>
        <c:showHorzBorder val="1"/>
        <c:showVertBorder val="1"/>
        <c:showOutline val="1"/>
        <c:showKeys val="1"/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4</Pages>
  <Words>114</Words>
  <Characters>655</Characters>
  <Application>Microsoft Office Word</Application>
  <DocSecurity>0</DocSecurity>
  <Lines>5</Lines>
  <Paragraphs>1</Paragraphs>
  <ScaleCrop>false</ScaleCrop>
  <Company>微软用户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204</cp:revision>
  <dcterms:created xsi:type="dcterms:W3CDTF">2017-05-31T03:13:00Z</dcterms:created>
  <dcterms:modified xsi:type="dcterms:W3CDTF">2024-05-08T07:40:00Z</dcterms:modified>
</cp:coreProperties>
</file>