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harts/chart3.xml" ContentType="application/vnd.openxmlformats-officedocument.drawingml.chart+xml"/>
  <Override PartName="/word/charts/chart5.xml" ContentType="application/vnd.openxmlformats-officedocument.drawingml.chart+xml"/>
  <Override PartName="/docProps/core.xml" ContentType="application/vnd.openxmlformats-package.core-properties+xml"/>
  <Override PartName="/word/charts/chart1.xml" ContentType="application/vnd.openxmlformats-officedocument.drawingml.chart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charts/chart4.xml" ContentType="application/vnd.openxmlformats-officedocument.drawingml.chart+xml"/>
  <Override PartName="/word/document.xml" ContentType="application/vnd.openxmlformats-officedocument.wordprocessingml.document.main+xml"/>
  <Override PartName="/word/charts/chart2.xml" ContentType="application/vnd.openxmlformats-officedocument.drawingml.chart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7054122E">
      <w:pPr>
        <w:pStyle w:val="style0"/>
        <w:adjustRightInd w:val="false"/>
        <w:spacing w:lineRule="auto" w:line="480"/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t>202</w:t>
      </w:r>
      <w:r>
        <w:rPr>
          <w:rFonts w:eastAsia="黑体"/>
          <w:sz w:val="32"/>
        </w:rPr>
        <w:t>4</w:t>
      </w:r>
      <w:r>
        <w:rPr>
          <w:rFonts w:eastAsia="黑体" w:hint="eastAsia"/>
          <w:sz w:val="32"/>
        </w:rPr>
        <w:t>年1-</w:t>
      </w:r>
      <w:r>
        <w:rPr>
          <w:rFonts w:eastAsia="黑体" w:hint="eastAsia"/>
          <w:sz w:val="32"/>
          <w:lang w:val="en-US" w:eastAsia="zh-CN"/>
        </w:rPr>
        <w:t>12</w:t>
      </w:r>
      <w:r>
        <w:rPr>
          <w:rFonts w:eastAsia="黑体" w:hint="eastAsia"/>
          <w:sz w:val="32"/>
        </w:rPr>
        <w:t>月碑林区主要经济指标完成情况</w:t>
      </w:r>
    </w:p>
    <w:tbl>
      <w:tblPr>
        <w:tblStyle w:val="style105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5"/>
        <w:gridCol w:w="1696"/>
        <w:gridCol w:w="2036"/>
      </w:tblGrid>
      <w:tr w14:paraId="37AB4026">
        <w:trPr>
          <w:trHeight w:val="449" w:hRule="atLeast"/>
          <w:jc w:val="center"/>
        </w:trPr>
        <w:tc>
          <w:tcPr>
            <w:tcW w:w="2990" w:type="pct"/>
            <w:tcBorders>
              <w:left w:val="nil"/>
            </w:tcBorders>
          </w:tcPr>
          <w:p w14:paraId="2D8430F3">
            <w:pPr>
              <w:pStyle w:val="style0"/>
              <w:adjustRightInd w:val="false"/>
              <w:spacing w:lineRule="auto" w:line="4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指标名称</w:t>
            </w:r>
          </w:p>
        </w:tc>
        <w:tc>
          <w:tcPr>
            <w:tcW w:w="913" w:type="pct"/>
            <w:tcBorders/>
          </w:tcPr>
          <w:p w14:paraId="636551E1">
            <w:pPr>
              <w:pStyle w:val="style0"/>
              <w:adjustRightInd w:val="false"/>
              <w:spacing w:lineRule="auto" w:line="4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累计</w:t>
            </w:r>
          </w:p>
        </w:tc>
        <w:tc>
          <w:tcPr>
            <w:tcW w:w="1096" w:type="pct"/>
            <w:tcBorders>
              <w:right w:val="nil"/>
            </w:tcBorders>
          </w:tcPr>
          <w:p w14:paraId="59860434">
            <w:pPr>
              <w:pStyle w:val="style0"/>
              <w:adjustRightInd w:val="false"/>
              <w:spacing w:lineRule="auto" w:line="48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同比增长(%)</w:t>
            </w:r>
          </w:p>
        </w:tc>
      </w:tr>
      <w:tr w14:paraId="6727ECCF">
        <w:tblPrEx/>
        <w:trPr>
          <w:trHeight w:val="628" w:hRule="atLeast"/>
          <w:jc w:val="center"/>
        </w:trPr>
        <w:tc>
          <w:tcPr>
            <w:tcW w:w="2990" w:type="pct"/>
            <w:tcBorders>
              <w:left w:val="nil"/>
            </w:tcBorders>
            <w:vAlign w:val="center"/>
          </w:tcPr>
          <w:p w14:paraId="2D473A62">
            <w:pPr>
              <w:pStyle w:val="style0"/>
              <w:adjustRightInd w:val="false"/>
              <w:spacing w:lineRule="auto" w:line="480"/>
              <w:rPr>
                <w:sz w:val="24"/>
              </w:rPr>
            </w:pPr>
            <w:r>
              <w:rPr>
                <w:rFonts w:hint="eastAsia"/>
                <w:sz w:val="24"/>
              </w:rPr>
              <w:t>一、地区生产总值（亿元）</w:t>
            </w:r>
          </w:p>
        </w:tc>
        <w:tc>
          <w:tcPr>
            <w:tcW w:w="913" w:type="pct"/>
            <w:tcBorders/>
            <w:vAlign w:val="center"/>
          </w:tcPr>
          <w:p w14:paraId="2034B8E9">
            <w:pPr>
              <w:pStyle w:val="style0"/>
              <w:jc w:val="center"/>
              <w:rPr>
                <w:rFonts w:ascii="宋体" w:eastAsia="宋体" w:hAnsi="宋体" w:hint="default"/>
                <w:sz w:val="24"/>
                <w:lang w:val="en-US" w:eastAsia="zh-CN"/>
              </w:rPr>
            </w:pPr>
            <w:r>
              <w:rPr>
                <w:rFonts w:ascii="宋体" w:hAnsi="宋体" w:hint="eastAsia"/>
                <w:sz w:val="24"/>
                <w:lang w:val="en-US" w:eastAsia="zh-CN"/>
              </w:rPr>
              <w:t>1162.92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4EE740A0">
            <w:pPr>
              <w:pStyle w:val="style0"/>
              <w:jc w:val="center"/>
              <w:rPr>
                <w:rFonts w:ascii="宋体" w:eastAsia="宋体" w:hAnsi="宋体" w:hint="default"/>
                <w:sz w:val="24"/>
                <w:lang w:val="en-US" w:eastAsia="zh-CN"/>
              </w:rPr>
            </w:pPr>
            <w:r>
              <w:rPr>
                <w:rFonts w:ascii="宋体" w:hAnsi="宋体" w:hint="eastAsia"/>
                <w:sz w:val="24"/>
                <w:lang w:val="en-US" w:eastAsia="zh-CN"/>
              </w:rPr>
              <w:t>4.0</w:t>
            </w:r>
          </w:p>
        </w:tc>
      </w:tr>
      <w:tr w14:paraId="3A8C4977">
        <w:tblPrEx/>
        <w:trPr>
          <w:trHeight w:val="607" w:hRule="atLeast"/>
          <w:jc w:val="center"/>
        </w:trPr>
        <w:tc>
          <w:tcPr>
            <w:tcW w:w="2990" w:type="pct"/>
            <w:tcBorders>
              <w:left w:val="nil"/>
            </w:tcBorders>
            <w:vAlign w:val="center"/>
          </w:tcPr>
          <w:p w14:paraId="69BE1A70">
            <w:pPr>
              <w:pStyle w:val="style0"/>
              <w:adjustRightInd w:val="false"/>
              <w:spacing w:lineRule="auto" w:line="480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其中：第二产业增加值（亿元）</w:t>
            </w:r>
          </w:p>
        </w:tc>
        <w:tc>
          <w:tcPr>
            <w:tcW w:w="913" w:type="pct"/>
            <w:tcBorders/>
            <w:vAlign w:val="center"/>
          </w:tcPr>
          <w:p w14:paraId="4FED5994">
            <w:pPr>
              <w:pStyle w:val="style0"/>
              <w:jc w:val="center"/>
              <w:rPr>
                <w:rFonts w:ascii="宋体" w:eastAsia="宋体" w:hAnsi="宋体" w:hint="default"/>
                <w:sz w:val="24"/>
                <w:lang w:val="en-US" w:eastAsia="zh-CN"/>
              </w:rPr>
            </w:pPr>
            <w:r>
              <w:rPr>
                <w:rFonts w:ascii="宋体" w:hAnsi="宋体" w:hint="eastAsia"/>
                <w:sz w:val="24"/>
                <w:lang w:val="en-US" w:eastAsia="zh-CN"/>
              </w:rPr>
              <w:t>177.72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7E216D13">
            <w:pPr>
              <w:pStyle w:val="style0"/>
              <w:jc w:val="center"/>
              <w:rPr>
                <w:rFonts w:ascii="宋体" w:eastAsia="宋体" w:hAnsi="宋体" w:hint="default"/>
                <w:sz w:val="24"/>
                <w:lang w:val="en-US" w:eastAsia="zh-CN"/>
              </w:rPr>
            </w:pPr>
            <w:r>
              <w:rPr>
                <w:rFonts w:ascii="宋体" w:hAnsi="宋体" w:hint="eastAsia"/>
                <w:sz w:val="24"/>
                <w:lang w:val="en-US" w:eastAsia="zh-CN"/>
              </w:rPr>
              <w:t>8.1</w:t>
            </w:r>
          </w:p>
        </w:tc>
      </w:tr>
      <w:tr w14:paraId="7AE7ECCC">
        <w:tblPrEx/>
        <w:trPr>
          <w:trHeight w:val="614" w:hRule="atLeast"/>
          <w:jc w:val="center"/>
        </w:trPr>
        <w:tc>
          <w:tcPr>
            <w:tcW w:w="2990" w:type="pct"/>
            <w:tcBorders>
              <w:left w:val="nil"/>
            </w:tcBorders>
            <w:vAlign w:val="center"/>
          </w:tcPr>
          <w:p w14:paraId="3F652111">
            <w:pPr>
              <w:pStyle w:val="style0"/>
              <w:adjustRightInd w:val="false"/>
              <w:spacing w:lineRule="auto" w:line="480"/>
              <w:ind w:firstLine="1200" w:firstLineChars="500"/>
              <w:rPr>
                <w:sz w:val="24"/>
              </w:rPr>
            </w:pPr>
            <w:r>
              <w:rPr>
                <w:rFonts w:hint="eastAsia"/>
                <w:sz w:val="24"/>
              </w:rPr>
              <w:t>第三产业增加值（亿元）</w:t>
            </w:r>
          </w:p>
        </w:tc>
        <w:tc>
          <w:tcPr>
            <w:tcW w:w="913" w:type="pct"/>
            <w:tcBorders/>
            <w:vAlign w:val="center"/>
          </w:tcPr>
          <w:p w14:paraId="26E8B40E">
            <w:pPr>
              <w:pStyle w:val="style0"/>
              <w:jc w:val="center"/>
              <w:rPr>
                <w:rFonts w:ascii="宋体" w:eastAsia="宋体" w:hAnsi="宋体" w:hint="default"/>
                <w:sz w:val="24"/>
                <w:lang w:val="en-US" w:eastAsia="zh-CN"/>
              </w:rPr>
            </w:pPr>
            <w:r>
              <w:rPr>
                <w:rFonts w:ascii="宋体" w:hAnsi="宋体" w:hint="eastAsia"/>
                <w:sz w:val="24"/>
                <w:lang w:val="en-US" w:eastAsia="zh-CN"/>
              </w:rPr>
              <w:t>985.20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08D29D76">
            <w:pPr>
              <w:pStyle w:val="style0"/>
              <w:jc w:val="center"/>
              <w:rPr>
                <w:rFonts w:ascii="宋体" w:eastAsia="宋体" w:hAnsi="宋体" w:hint="default"/>
                <w:sz w:val="24"/>
                <w:lang w:val="en-US" w:eastAsia="zh-CN"/>
              </w:rPr>
            </w:pPr>
            <w:r>
              <w:rPr>
                <w:rFonts w:ascii="宋体" w:hAnsi="宋体" w:hint="eastAsia"/>
                <w:sz w:val="24"/>
                <w:lang w:val="en-US" w:eastAsia="zh-CN"/>
              </w:rPr>
              <w:t>3.1</w:t>
            </w:r>
          </w:p>
        </w:tc>
      </w:tr>
      <w:tr w14:paraId="306E9D29">
        <w:tblPrEx/>
        <w:trPr>
          <w:trHeight w:val="725" w:hRule="atLeast"/>
          <w:jc w:val="center"/>
        </w:trPr>
        <w:tc>
          <w:tcPr>
            <w:tcW w:w="2990" w:type="pct"/>
            <w:tcBorders>
              <w:left w:val="nil"/>
            </w:tcBorders>
            <w:vAlign w:val="center"/>
          </w:tcPr>
          <w:p w14:paraId="512C925A">
            <w:pPr>
              <w:pStyle w:val="style0"/>
              <w:adjustRightInd w:val="false"/>
              <w:spacing w:lineRule="auto" w:line="480"/>
              <w:rPr>
                <w:sz w:val="24"/>
              </w:rPr>
            </w:pPr>
            <w:r>
              <w:rPr>
                <w:rFonts w:hint="eastAsia"/>
                <w:sz w:val="24"/>
              </w:rPr>
              <w:t>二、规模以上工业增加值（亿元）</w:t>
            </w:r>
          </w:p>
        </w:tc>
        <w:tc>
          <w:tcPr>
            <w:tcW w:w="913" w:type="pct"/>
            <w:tcBorders/>
            <w:shd w:val="clear" w:color="auto" w:fill="auto"/>
            <w:vAlign w:val="center"/>
          </w:tcPr>
          <w:p w14:paraId="234320A0">
            <w:pPr>
              <w:pStyle w:val="style0"/>
              <w:jc w:val="center"/>
              <w:rPr>
                <w:rFonts w:ascii="宋体" w:cs="Times New Roman" w:eastAsia="宋体" w:hAnsi="宋体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shd w:val="clear" w:color="auto" w:fill="auto"/>
            <w:vAlign w:val="center"/>
          </w:tcPr>
          <w:p w14:paraId="359536F9">
            <w:pPr>
              <w:pStyle w:val="style0"/>
              <w:jc w:val="center"/>
              <w:rPr>
                <w:rFonts w:ascii="宋体" w:cs="Times New Roman" w:eastAsia="宋体" w:hAnsi="宋体" w:hint="default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eastAsia="宋体" w:hAnsi="宋体" w:hint="eastAsia"/>
                <w:sz w:val="24"/>
                <w:lang w:val="en-US" w:eastAsia="zh-CN"/>
              </w:rPr>
              <w:t>-</w:t>
            </w:r>
            <w:r>
              <w:rPr>
                <w:rFonts w:ascii="宋体" w:hAnsi="宋体" w:hint="eastAsia"/>
                <w:sz w:val="24"/>
                <w:lang w:val="en-US" w:eastAsia="zh-CN"/>
              </w:rPr>
              <w:t>5.5</w:t>
            </w:r>
          </w:p>
        </w:tc>
      </w:tr>
      <w:tr w14:paraId="7E6AEBC3">
        <w:tblPrEx/>
        <w:trPr>
          <w:trHeight w:val="588" w:hRule="atLeast"/>
          <w:jc w:val="center"/>
        </w:trPr>
        <w:tc>
          <w:tcPr>
            <w:tcW w:w="2990" w:type="pct"/>
            <w:tcBorders>
              <w:left w:val="nil"/>
            </w:tcBorders>
            <w:vAlign w:val="center"/>
          </w:tcPr>
          <w:p w14:paraId="12AAD3DA">
            <w:pPr>
              <w:pStyle w:val="style0"/>
              <w:adjustRightInd w:val="false"/>
              <w:spacing w:lineRule="auto" w:line="480"/>
              <w:rPr>
                <w:sz w:val="24"/>
              </w:rPr>
            </w:pPr>
            <w:r>
              <w:rPr>
                <w:rFonts w:hint="eastAsia"/>
                <w:sz w:val="24"/>
              </w:rPr>
              <w:t>三、固定资产投资额（亿元）</w:t>
            </w:r>
          </w:p>
        </w:tc>
        <w:tc>
          <w:tcPr>
            <w:tcW w:w="913" w:type="pct"/>
            <w:tcBorders/>
            <w:shd w:val="clear" w:color="auto" w:fill="auto"/>
            <w:vAlign w:val="center"/>
          </w:tcPr>
          <w:p w14:paraId="0EDA6707">
            <w:pPr>
              <w:pStyle w:val="style0"/>
              <w:adjustRightInd w:val="false"/>
              <w:spacing w:lineRule="auto" w:line="480"/>
              <w:jc w:val="center"/>
              <w:rPr>
                <w:rFonts w:ascii="宋体" w:cs="Times New Roman" w:eastAsia="宋体" w:hAnsi="宋体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shd w:val="clear" w:color="auto" w:fill="auto"/>
            <w:vAlign w:val="center"/>
          </w:tcPr>
          <w:p w14:paraId="28275B45">
            <w:pPr>
              <w:pStyle w:val="style0"/>
              <w:adjustRightInd w:val="false"/>
              <w:spacing w:lineRule="auto" w:line="480"/>
              <w:jc w:val="center"/>
              <w:rPr>
                <w:rFonts w:ascii="宋体" w:cs="Times New Roman" w:eastAsia="宋体" w:hAnsi="宋体" w:hint="default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hAnsi="宋体" w:hint="eastAsia"/>
                <w:sz w:val="24"/>
                <w:lang w:val="en-US" w:eastAsia="zh-CN"/>
              </w:rPr>
              <w:t>34.7</w:t>
            </w:r>
          </w:p>
        </w:tc>
      </w:tr>
      <w:tr w14:paraId="6D798629">
        <w:tblPrEx/>
        <w:trPr>
          <w:trHeight w:val="613" w:hRule="atLeast"/>
          <w:jc w:val="center"/>
        </w:trPr>
        <w:tc>
          <w:tcPr>
            <w:tcW w:w="2990" w:type="pct"/>
            <w:tcBorders>
              <w:left w:val="nil"/>
            </w:tcBorders>
            <w:vAlign w:val="center"/>
          </w:tcPr>
          <w:p w14:paraId="519D8567">
            <w:pPr>
              <w:pStyle w:val="style0"/>
              <w:adjustRightInd w:val="false"/>
              <w:spacing w:lineRule="auto" w:line="480"/>
              <w:rPr>
                <w:sz w:val="24"/>
              </w:rPr>
            </w:pPr>
            <w:r>
              <w:rPr>
                <w:rFonts w:hint="eastAsia"/>
                <w:sz w:val="24"/>
              </w:rPr>
              <w:t>四、社会消费品零售总额（亿元）</w:t>
            </w:r>
          </w:p>
        </w:tc>
        <w:tc>
          <w:tcPr>
            <w:tcW w:w="913" w:type="pct"/>
            <w:tcBorders/>
            <w:shd w:val="clear" w:color="auto" w:fill="auto"/>
            <w:vAlign w:val="center"/>
          </w:tcPr>
          <w:p w14:paraId="25FC56F2">
            <w:pPr>
              <w:pStyle w:val="style0"/>
              <w:jc w:val="center"/>
              <w:rPr>
                <w:rFonts w:ascii="宋体" w:cs="Times New Roman" w:eastAsia="宋体" w:hAnsi="宋体" w:hint="default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hAnsi="宋体" w:hint="eastAsia"/>
                <w:sz w:val="24"/>
                <w:lang w:val="en-US" w:eastAsia="zh-CN"/>
              </w:rPr>
              <w:t>509.88</w:t>
            </w:r>
          </w:p>
        </w:tc>
        <w:tc>
          <w:tcPr>
            <w:tcW w:w="1096" w:type="pct"/>
            <w:tcBorders>
              <w:right w:val="nil"/>
            </w:tcBorders>
            <w:shd w:val="clear" w:color="auto" w:fill="auto"/>
            <w:vAlign w:val="center"/>
          </w:tcPr>
          <w:p w14:paraId="6B172F8A">
            <w:pPr>
              <w:pStyle w:val="style0"/>
              <w:jc w:val="center"/>
              <w:rPr>
                <w:rFonts w:ascii="宋体" w:cs="Times New Roman" w:eastAsia="宋体" w:hAnsi="宋体" w:hint="default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hAnsi="宋体"/>
                <w:sz w:val="24"/>
              </w:rPr>
              <w:t>-</w:t>
            </w:r>
            <w:r>
              <w:rPr>
                <w:rFonts w:ascii="宋体" w:hAnsi="宋体" w:hint="eastAsia"/>
                <w:sz w:val="24"/>
                <w:lang w:val="en-US" w:eastAsia="zh-CN"/>
              </w:rPr>
              <w:t>0.5</w:t>
            </w:r>
          </w:p>
        </w:tc>
      </w:tr>
      <w:tr w14:paraId="3E724E7E">
        <w:tblPrEx/>
        <w:trPr>
          <w:trHeight w:val="613" w:hRule="atLeast"/>
          <w:jc w:val="center"/>
        </w:trPr>
        <w:tc>
          <w:tcPr>
            <w:tcW w:w="2990" w:type="pct"/>
            <w:tcBorders>
              <w:left w:val="nil"/>
            </w:tcBorders>
            <w:vAlign w:val="center"/>
          </w:tcPr>
          <w:p w14:paraId="06AAA737">
            <w:pPr>
              <w:pStyle w:val="style0"/>
              <w:adjustRightInd w:val="false"/>
              <w:spacing w:lineRule="auto" w:line="480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其中：限额以上消费品零售额（亿元）</w:t>
            </w:r>
          </w:p>
        </w:tc>
        <w:tc>
          <w:tcPr>
            <w:tcW w:w="913" w:type="pct"/>
            <w:tcBorders/>
            <w:shd w:val="clear" w:color="auto" w:fill="auto"/>
            <w:vAlign w:val="center"/>
          </w:tcPr>
          <w:p w14:paraId="78ED6732">
            <w:pPr>
              <w:pStyle w:val="style0"/>
              <w:jc w:val="center"/>
              <w:rPr>
                <w:rFonts w:ascii="宋体" w:cs="Times New Roman" w:eastAsia="宋体" w:hAnsi="宋体" w:hint="default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hAnsi="宋体" w:hint="eastAsia"/>
                <w:sz w:val="24"/>
                <w:lang w:val="en-US" w:eastAsia="zh-CN"/>
              </w:rPr>
              <w:t>215.16</w:t>
            </w:r>
          </w:p>
        </w:tc>
        <w:tc>
          <w:tcPr>
            <w:tcW w:w="1096" w:type="pct"/>
            <w:tcBorders>
              <w:right w:val="nil"/>
            </w:tcBorders>
            <w:shd w:val="clear" w:color="auto" w:fill="auto"/>
            <w:vAlign w:val="center"/>
          </w:tcPr>
          <w:p w14:paraId="204AFEAE">
            <w:pPr>
              <w:pStyle w:val="style0"/>
              <w:jc w:val="center"/>
              <w:rPr>
                <w:rFonts w:ascii="宋体" w:cs="Times New Roman" w:eastAsia="宋体" w:hAnsi="宋体" w:hint="eastAsia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hAnsi="宋体"/>
                <w:sz w:val="24"/>
              </w:rPr>
              <w:t>-</w:t>
            </w:r>
            <w:r>
              <w:rPr>
                <w:rFonts w:ascii="宋体" w:hAnsi="宋体" w:hint="eastAsia"/>
                <w:sz w:val="24"/>
                <w:lang w:val="en-US" w:eastAsia="zh-CN"/>
              </w:rPr>
              <w:t>6.0</w:t>
            </w:r>
          </w:p>
        </w:tc>
      </w:tr>
      <w:tr w14:paraId="0E596C2C">
        <w:tblPrEx/>
        <w:trPr>
          <w:trHeight w:val="615" w:hRule="atLeast"/>
          <w:jc w:val="center"/>
        </w:trPr>
        <w:tc>
          <w:tcPr>
            <w:tcW w:w="2990" w:type="pct"/>
            <w:tcBorders>
              <w:left w:val="nil"/>
            </w:tcBorders>
          </w:tcPr>
          <w:p w14:paraId="3F50686F">
            <w:pPr>
              <w:pStyle w:val="style0"/>
              <w:adjustRightInd w:val="false"/>
              <w:spacing w:lineRule="auto" w:line="480"/>
              <w:rPr>
                <w:sz w:val="24"/>
              </w:rPr>
            </w:pPr>
            <w:r>
              <w:rPr>
                <w:rFonts w:hint="eastAsia"/>
                <w:sz w:val="24"/>
              </w:rPr>
              <w:t>五、城镇居民人均可支配收入（元）</w:t>
            </w:r>
          </w:p>
        </w:tc>
        <w:tc>
          <w:tcPr>
            <w:tcW w:w="913" w:type="pct"/>
            <w:tcBorders/>
            <w:vAlign w:val="center"/>
          </w:tcPr>
          <w:p w14:paraId="7962A150">
            <w:pPr>
              <w:pStyle w:val="style0"/>
              <w:jc w:val="center"/>
              <w:rPr>
                <w:rFonts w:ascii="宋体" w:eastAsia="宋体" w:hAnsi="宋体" w:hint="default"/>
                <w:color w:val="000000"/>
                <w:sz w:val="24"/>
                <w:lang w:val="en-US" w:eastAsia="zh-CN"/>
              </w:rPr>
            </w:pPr>
            <w:r>
              <w:rPr>
                <w:rFonts w:ascii="宋体" w:eastAsia="宋体" w:hAnsi="宋体" w:hint="default"/>
                <w:color w:val="000000"/>
                <w:sz w:val="24"/>
                <w:lang w:val="en-US" w:eastAsia="zh-CN"/>
              </w:rPr>
              <w:t>61506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0C4C91F7">
            <w:pPr>
              <w:pStyle w:val="style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  <w:lang w:val="en-US"/>
              </w:rPr>
              <w:t>4.7</w:t>
            </w:r>
          </w:p>
        </w:tc>
      </w:tr>
    </w:tbl>
    <w:p w14:paraId="4772E1FE">
      <w:pPr>
        <w:pStyle w:val="style0"/>
        <w:adjustRightInd w:val="false"/>
        <w:ind w:firstLine="210" w:firstLineChars="100"/>
        <w:jc w:val="left"/>
        <w:rPr/>
      </w:pPr>
    </w:p>
    <w:p w14:paraId="789A708B">
      <w:pPr>
        <w:pStyle w:val="style0"/>
        <w:adjustRightInd w:val="false"/>
        <w:ind w:firstLine="210" w:firstLineChars="100"/>
        <w:jc w:val="left"/>
        <w:rPr/>
      </w:pPr>
      <w:r>
        <w:rPr>
          <w:rFonts w:hint="eastAsia"/>
        </w:rPr>
        <w:t>注：地区生产总值、社会消费品零售总额和城镇居民人均可支配收入均为季度数据。</w:t>
      </w:r>
    </w:p>
    <w:p w14:paraId="528BB565">
      <w:pPr>
        <w:pStyle w:val="style0"/>
        <w:rPr/>
      </w:pPr>
    </w:p>
    <w:p w14:paraId="4F1AC829">
      <w:pPr>
        <w:pStyle w:val="style0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【</w:t>
      </w:r>
      <w:r>
        <w:rPr>
          <w:rFonts w:ascii="仿宋_GB2312" w:eastAsia="仿宋_GB2312" w:hint="eastAsia"/>
          <w:b/>
          <w:sz w:val="32"/>
          <w:szCs w:val="32"/>
        </w:rPr>
        <w:t>数据解读</w:t>
      </w:r>
      <w:r>
        <w:rPr>
          <w:rFonts w:ascii="宋体" w:hAnsi="宋体" w:hint="eastAsia"/>
          <w:b/>
          <w:sz w:val="32"/>
          <w:szCs w:val="32"/>
        </w:rPr>
        <w:t>】</w:t>
      </w:r>
    </w:p>
    <w:p w14:paraId="1FCCC3C8">
      <w:pPr>
        <w:pStyle w:val="style0"/>
        <w:spacing w:lineRule="exact" w:line="560"/>
        <w:ind w:firstLine="707" w:firstLineChars="221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一、地区生产总值</w:t>
      </w:r>
    </w:p>
    <w:p w14:paraId="0E72A334">
      <w:pPr>
        <w:pStyle w:val="style0"/>
        <w:spacing w:lineRule="exact" w:line="560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>根据</w:t>
      </w:r>
      <w:r>
        <w:rPr>
          <w:rFonts w:eastAsia="仿宋_GB2312" w:hint="eastAsia"/>
          <w:sz w:val="32"/>
          <w:szCs w:val="32"/>
          <w:highlight w:val="none"/>
        </w:rPr>
        <w:t>地区</w:t>
      </w:r>
      <w:r>
        <w:rPr>
          <w:rFonts w:eastAsia="仿宋_GB2312"/>
          <w:sz w:val="32"/>
          <w:szCs w:val="32"/>
          <w:highlight w:val="none"/>
        </w:rPr>
        <w:t>生产总值统一核算结果，</w:t>
      </w:r>
      <w:r>
        <w:rPr>
          <w:rFonts w:eastAsia="仿宋_GB2312" w:hint="eastAsia"/>
          <w:sz w:val="32"/>
          <w:szCs w:val="32"/>
          <w:highlight w:val="none"/>
          <w:lang w:val="en-US" w:eastAsia="zh-CN"/>
        </w:rPr>
        <w:t>2024年</w:t>
      </w:r>
      <w:r>
        <w:rPr>
          <w:rFonts w:eastAsia="仿宋_GB2312" w:hint="eastAsia"/>
          <w:sz w:val="32"/>
          <w:szCs w:val="32"/>
          <w:highlight w:val="none"/>
        </w:rPr>
        <w:t>全区地区生产总值</w:t>
      </w:r>
      <w:r>
        <w:rPr>
          <w:rFonts w:eastAsia="仿宋_GB2312" w:hint="eastAsia"/>
          <w:sz w:val="32"/>
          <w:szCs w:val="32"/>
          <w:highlight w:val="none"/>
          <w:lang w:val="en-US" w:eastAsia="zh-CN"/>
        </w:rPr>
        <w:t>1162.92</w:t>
      </w:r>
      <w:r>
        <w:rPr>
          <w:rFonts w:eastAsia="仿宋_GB2312" w:hint="eastAsia"/>
          <w:sz w:val="32"/>
          <w:szCs w:val="32"/>
          <w:highlight w:val="none"/>
        </w:rPr>
        <w:t>亿元，按不变</w:t>
      </w:r>
      <w:r>
        <w:rPr>
          <w:rFonts w:eastAsia="仿宋_GB2312"/>
          <w:sz w:val="32"/>
          <w:szCs w:val="32"/>
          <w:highlight w:val="none"/>
        </w:rPr>
        <w:t>价格计算，</w:t>
      </w:r>
      <w:r>
        <w:rPr>
          <w:rFonts w:eastAsia="仿宋_GB2312" w:hint="eastAsia"/>
          <w:sz w:val="32"/>
          <w:szCs w:val="32"/>
          <w:highlight w:val="none"/>
        </w:rPr>
        <w:t>同比增长</w:t>
      </w:r>
      <w:r>
        <w:rPr>
          <w:rFonts w:eastAsia="仿宋_GB2312" w:hint="eastAsia"/>
          <w:sz w:val="32"/>
          <w:szCs w:val="32"/>
          <w:highlight w:val="none"/>
          <w:lang w:val="en-US" w:eastAsia="zh-CN"/>
        </w:rPr>
        <w:t>4.0</w:t>
      </w:r>
      <w:r>
        <w:rPr>
          <w:rFonts w:eastAsia="仿宋_GB2312"/>
          <w:sz w:val="32"/>
          <w:szCs w:val="32"/>
          <w:highlight w:val="none"/>
        </w:rPr>
        <w:t>%</w:t>
      </w:r>
      <w:r>
        <w:rPr>
          <w:rFonts w:eastAsia="仿宋_GB2312" w:hint="eastAsia"/>
          <w:sz w:val="32"/>
          <w:szCs w:val="32"/>
          <w:highlight w:val="none"/>
        </w:rPr>
        <w:t>，比</w:t>
      </w:r>
      <w:r>
        <w:rPr>
          <w:rFonts w:eastAsia="仿宋_GB2312" w:hint="eastAsia"/>
          <w:sz w:val="32"/>
          <w:szCs w:val="32"/>
          <w:highlight w:val="none"/>
          <w:lang w:val="en-US" w:eastAsia="zh-CN"/>
        </w:rPr>
        <w:t>前三季度提高0</w:t>
      </w:r>
      <w:r>
        <w:rPr>
          <w:rFonts w:eastAsia="仿宋_GB2312"/>
          <w:sz w:val="32"/>
          <w:szCs w:val="32"/>
          <w:highlight w:val="none"/>
        </w:rPr>
        <w:t>.</w:t>
      </w:r>
      <w:r>
        <w:rPr>
          <w:rFonts w:eastAsia="仿宋_GB2312" w:hint="eastAsia"/>
          <w:sz w:val="32"/>
          <w:szCs w:val="32"/>
          <w:highlight w:val="none"/>
          <w:lang w:val="en-US" w:eastAsia="zh-CN"/>
        </w:rPr>
        <w:t>9</w:t>
      </w:r>
      <w:r>
        <w:rPr>
          <w:rFonts w:eastAsia="仿宋_GB2312" w:hint="eastAsia"/>
          <w:sz w:val="32"/>
          <w:szCs w:val="32"/>
          <w:highlight w:val="none"/>
        </w:rPr>
        <w:t>个</w:t>
      </w:r>
      <w:r>
        <w:rPr>
          <w:rFonts w:eastAsia="仿宋_GB2312"/>
          <w:sz w:val="32"/>
          <w:szCs w:val="32"/>
          <w:highlight w:val="none"/>
        </w:rPr>
        <w:t>百分点</w:t>
      </w:r>
      <w:r>
        <w:rPr>
          <w:rFonts w:eastAsia="仿宋_GB2312" w:hint="eastAsia"/>
          <w:sz w:val="32"/>
          <w:szCs w:val="32"/>
          <w:highlight w:val="none"/>
        </w:rPr>
        <w:t>。分产业看，第二产业增加值</w:t>
      </w:r>
      <w:r>
        <w:rPr>
          <w:rFonts w:eastAsia="仿宋_GB2312" w:hint="eastAsia"/>
          <w:sz w:val="32"/>
          <w:szCs w:val="32"/>
          <w:highlight w:val="none"/>
          <w:lang w:val="en-US" w:eastAsia="zh-CN"/>
        </w:rPr>
        <w:t>177.72</w:t>
      </w:r>
      <w:r>
        <w:rPr>
          <w:rFonts w:eastAsia="仿宋_GB2312" w:hint="eastAsia"/>
          <w:sz w:val="32"/>
          <w:szCs w:val="32"/>
          <w:highlight w:val="none"/>
        </w:rPr>
        <w:t>亿元，同比</w:t>
      </w:r>
      <w:r>
        <w:rPr>
          <w:rFonts w:eastAsia="仿宋_GB2312" w:hint="eastAsia"/>
          <w:sz w:val="32"/>
          <w:szCs w:val="32"/>
          <w:highlight w:val="none"/>
          <w:lang w:val="en-US" w:eastAsia="zh-CN"/>
        </w:rPr>
        <w:t>增长8.1</w:t>
      </w:r>
      <w:r>
        <w:rPr>
          <w:rFonts w:eastAsia="仿宋_GB2312" w:hint="eastAsia"/>
          <w:sz w:val="32"/>
          <w:szCs w:val="32"/>
          <w:highlight w:val="none"/>
        </w:rPr>
        <w:t>%</w:t>
      </w:r>
      <w:r>
        <w:rPr>
          <w:rFonts w:eastAsia="仿宋_GB2312" w:hint="eastAsia"/>
          <w:color w:val="000000"/>
          <w:sz w:val="32"/>
          <w:szCs w:val="32"/>
          <w:highlight w:val="none"/>
        </w:rPr>
        <w:t>；</w:t>
      </w:r>
      <w:r>
        <w:rPr>
          <w:rFonts w:eastAsia="仿宋_GB2312" w:hint="eastAsia"/>
          <w:sz w:val="32"/>
          <w:szCs w:val="32"/>
          <w:highlight w:val="none"/>
        </w:rPr>
        <w:t>第三产业增加值</w:t>
      </w:r>
      <w:r>
        <w:rPr>
          <w:rFonts w:eastAsia="仿宋_GB2312" w:hint="eastAsia"/>
          <w:sz w:val="32"/>
          <w:szCs w:val="32"/>
          <w:highlight w:val="none"/>
          <w:lang w:val="en-US" w:eastAsia="zh-CN"/>
        </w:rPr>
        <w:t>985.20</w:t>
      </w:r>
      <w:r>
        <w:rPr>
          <w:rFonts w:eastAsia="仿宋_GB2312" w:hint="eastAsia"/>
          <w:sz w:val="32"/>
          <w:szCs w:val="32"/>
          <w:highlight w:val="none"/>
        </w:rPr>
        <w:t>亿元，同比增长</w:t>
      </w:r>
      <w:r>
        <w:rPr>
          <w:rFonts w:eastAsia="仿宋_GB2312" w:hint="eastAsia"/>
          <w:sz w:val="32"/>
          <w:szCs w:val="32"/>
          <w:highlight w:val="none"/>
          <w:lang w:val="en-US" w:eastAsia="zh-CN"/>
        </w:rPr>
        <w:t>3.1</w:t>
      </w:r>
      <w:r>
        <w:rPr>
          <w:rFonts w:eastAsia="仿宋_GB2312"/>
          <w:sz w:val="32"/>
          <w:szCs w:val="32"/>
          <w:highlight w:val="none"/>
        </w:rPr>
        <w:t>%</w:t>
      </w:r>
      <w:r>
        <w:rPr>
          <w:rFonts w:eastAsia="仿宋_GB2312" w:hint="eastAsia"/>
          <w:sz w:val="32"/>
          <w:szCs w:val="32"/>
          <w:highlight w:val="none"/>
        </w:rPr>
        <w:t>。</w:t>
      </w:r>
    </w:p>
    <w:p w14:paraId="1D9DA373">
      <w:pPr>
        <w:pStyle w:val="style0"/>
        <w:jc w:val="center"/>
        <w:rPr>
          <w:rFonts w:eastAsia="仿宋_GB2312"/>
          <w:sz w:val="32"/>
          <w:szCs w:val="32"/>
        </w:rPr>
      </w:pPr>
      <w:r>
        <w:rPr/>
      </w:r>
      <w:r/>
      <w:r>
        <w:rPr/>
      </w:r>
      <w:r>
        <w:rPr/>
        <w:drawing>
          <wp:inline distL="114300" distT="0" distB="0" distR="114300">
            <wp:extent cx="5756275" cy="3010535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"/>
              </a:graphicData>
            </a:graphic>
          </wp:inline>
        </w:drawing>
      </w:r>
      <w:r>
        <w:rPr/>
      </w:r>
    </w:p>
    <w:p w14:paraId="074A3480">
      <w:pPr>
        <w:pStyle w:val="style0"/>
        <w:spacing w:lineRule="exact" w:line="560"/>
        <w:ind w:firstLine="707" w:firstLineChars="221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二、规模以上工业增加值</w:t>
      </w:r>
    </w:p>
    <w:p w14:paraId="05713584">
      <w:pPr>
        <w:pStyle w:val="style0"/>
        <w:spacing w:lineRule="exact" w:line="560"/>
        <w:ind w:firstLine="707" w:firstLineChars="221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  <w:lang w:val="en-US" w:eastAsia="zh-CN"/>
        </w:rPr>
        <w:t>2024年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全区规模以上</w:t>
      </w:r>
      <w:r>
        <w:rPr>
          <w:rFonts w:eastAsia="仿宋_GB2312"/>
          <w:sz w:val="32"/>
          <w:szCs w:val="32"/>
        </w:rPr>
        <w:t>工业增加值</w:t>
      </w:r>
      <w:r>
        <w:rPr>
          <w:rFonts w:eastAsia="仿宋_GB2312" w:hint="eastAsia"/>
          <w:sz w:val="32"/>
          <w:szCs w:val="32"/>
        </w:rPr>
        <w:t>同比下降</w:t>
      </w:r>
      <w:r>
        <w:rPr>
          <w:rFonts w:eastAsia="仿宋_GB2312" w:hint="eastAsia"/>
          <w:sz w:val="32"/>
          <w:szCs w:val="32"/>
          <w:lang w:val="en-US" w:eastAsia="zh-CN"/>
        </w:rPr>
        <w:t>5.5</w:t>
      </w:r>
      <w:r>
        <w:rPr>
          <w:rFonts w:eastAsia="仿宋_GB2312" w:hint="eastAsia"/>
          <w:sz w:val="32"/>
          <w:szCs w:val="32"/>
        </w:rPr>
        <w:t>%，</w:t>
      </w:r>
      <w:r>
        <w:rPr>
          <w:rFonts w:eastAsia="仿宋_GB2312"/>
          <w:sz w:val="32"/>
          <w:szCs w:val="32"/>
        </w:rPr>
        <w:t>比</w:t>
      </w:r>
      <w:r>
        <w:rPr>
          <w:rFonts w:eastAsia="仿宋_GB2312" w:hint="eastAsia"/>
          <w:sz w:val="32"/>
          <w:szCs w:val="32"/>
          <w:lang w:val="en-US" w:eastAsia="zh-CN"/>
        </w:rPr>
        <w:t>前三季度加深0.9</w:t>
      </w:r>
      <w:r>
        <w:rPr>
          <w:rFonts w:eastAsia="仿宋_GB2312" w:hint="eastAsia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百分点</w:t>
      </w:r>
      <w:r>
        <w:rPr>
          <w:rFonts w:eastAsia="仿宋_GB2312" w:hint="eastAsia"/>
          <w:sz w:val="32"/>
          <w:szCs w:val="32"/>
        </w:rPr>
        <w:t>。</w:t>
      </w:r>
    </w:p>
    <w:p w14:paraId="456FC764">
      <w:pPr>
        <w:pStyle w:val="style0"/>
        <w:jc w:val="center"/>
        <w:rPr>
          <w:rFonts w:ascii="仿宋_GB2312" w:eastAsia="仿宋_GB2312"/>
          <w:sz w:val="32"/>
          <w:szCs w:val="32"/>
        </w:rPr>
      </w:pPr>
      <w:r>
        <w:rPr/>
      </w:r>
      <w:r/>
      <w:r>
        <w:rPr/>
      </w:r>
      <w:r>
        <w:rPr/>
        <w:drawing>
          <wp:inline distL="114300" distT="0" distB="0" distR="114300">
            <wp:extent cx="5755640" cy="2774950"/>
            <wp:effectExtent l="0" t="0" r="0" b="0"/>
            <wp:docPr id="1029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"/>
              </a:graphicData>
            </a:graphic>
          </wp:inline>
        </w:drawing>
      </w:r>
      <w:r>
        <w:rPr/>
      </w:r>
    </w:p>
    <w:p w14:paraId="315EA843">
      <w:pPr>
        <w:pStyle w:val="style0"/>
        <w:spacing w:lineRule="exact" w:line="560"/>
        <w:ind w:firstLine="627" w:firstLineChars="196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三、固定资产投资</w:t>
      </w:r>
    </w:p>
    <w:p w14:paraId="11D5F822">
      <w:pPr>
        <w:pStyle w:val="style0"/>
        <w:spacing w:lineRule="exact" w:line="56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  <w:lang w:val="en-US" w:eastAsia="zh-CN"/>
        </w:rPr>
        <w:t>2024年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全区固定资产投资同比增长</w:t>
      </w:r>
      <w:r>
        <w:rPr>
          <w:rFonts w:eastAsia="仿宋_GB2312" w:hint="eastAsia"/>
          <w:sz w:val="32"/>
          <w:szCs w:val="32"/>
          <w:lang w:val="en-US" w:eastAsia="zh-CN"/>
        </w:rPr>
        <w:t>34.7</w:t>
      </w:r>
      <w:r>
        <w:rPr>
          <w:rFonts w:eastAsia="仿宋_GB2312" w:hint="eastAsia"/>
          <w:sz w:val="32"/>
          <w:szCs w:val="32"/>
        </w:rPr>
        <w:t>%，</w:t>
      </w:r>
      <w:r>
        <w:rPr>
          <w:rFonts w:eastAsia="仿宋_GB2312" w:hint="eastAsia"/>
          <w:kern w:val="0"/>
          <w:sz w:val="32"/>
          <w:szCs w:val="32"/>
        </w:rPr>
        <w:t>比</w:t>
      </w:r>
      <w:r>
        <w:rPr>
          <w:rFonts w:eastAsia="仿宋_GB2312" w:hint="eastAsia"/>
          <w:kern w:val="0"/>
          <w:sz w:val="32"/>
          <w:szCs w:val="32"/>
          <w:lang w:val="en-US" w:eastAsia="zh-CN"/>
        </w:rPr>
        <w:t>前三季度回落1</w:t>
      </w:r>
      <w:r>
        <w:rPr>
          <w:rFonts w:eastAsia="仿宋_GB2312" w:hint="eastAsia"/>
          <w:sz w:val="32"/>
          <w:szCs w:val="32"/>
          <w:lang w:val="en-US" w:eastAsia="zh-CN"/>
        </w:rPr>
        <w:t>1.4</w:t>
      </w:r>
      <w:r>
        <w:rPr>
          <w:rFonts w:eastAsia="仿宋_GB2312" w:hint="eastAsia"/>
          <w:sz w:val="32"/>
          <w:szCs w:val="32"/>
        </w:rPr>
        <w:t>个百分点。其</w:t>
      </w:r>
      <w:bookmarkStart w:id="0" w:name="_GoBack"/>
      <w:bookmarkEnd w:id="0"/>
      <w:r>
        <w:rPr>
          <w:rFonts w:eastAsia="仿宋_GB2312" w:hint="eastAsia"/>
          <w:sz w:val="32"/>
          <w:szCs w:val="32"/>
        </w:rPr>
        <w:t>中，民间投资同比增长</w:t>
      </w:r>
      <w:r>
        <w:rPr>
          <w:rFonts w:eastAsia="仿宋_GB2312" w:hint="eastAsia"/>
          <w:sz w:val="32"/>
          <w:szCs w:val="32"/>
          <w:lang w:val="en-US" w:eastAsia="zh-CN"/>
        </w:rPr>
        <w:t>15.0</w:t>
      </w:r>
      <w:r>
        <w:rPr>
          <w:rFonts w:eastAsia="仿宋_GB2312" w:hint="eastAsia"/>
          <w:sz w:val="32"/>
          <w:szCs w:val="32"/>
        </w:rPr>
        <w:t>%。</w:t>
      </w:r>
    </w:p>
    <w:p w14:paraId="69F05508">
      <w:pPr>
        <w:pStyle w:val="style0"/>
        <w:jc w:val="center"/>
        <w:rPr>
          <w:rFonts w:ascii="仿宋_GB2312" w:eastAsia="仿宋_GB2312" w:hAnsi="仿宋"/>
          <w:sz w:val="32"/>
          <w:szCs w:val="32"/>
        </w:rPr>
      </w:pPr>
      <w:r>
        <w:rPr/>
      </w:r>
      <w:r/>
      <w:r>
        <w:rPr/>
      </w:r>
      <w:r>
        <w:rPr/>
        <w:drawing>
          <wp:inline distL="114300" distT="0" distB="0" distR="114300">
            <wp:extent cx="5755005" cy="3360420"/>
            <wp:effectExtent l="0" t="0" r="0" b="0"/>
            <wp:docPr id="1031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>
        <w:rPr/>
      </w:r>
    </w:p>
    <w:p w14:paraId="30F617B6">
      <w:pPr>
        <w:pStyle w:val="style0"/>
        <w:spacing w:lineRule="exact" w:line="560"/>
        <w:ind w:firstLine="627" w:firstLineChars="196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四、社会消费品零售总额</w:t>
      </w:r>
    </w:p>
    <w:p w14:paraId="44BFC378">
      <w:pPr>
        <w:pStyle w:val="style0"/>
        <w:spacing w:lineRule="exact" w:line="560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  <w:lang w:val="en-US" w:eastAsia="zh-CN"/>
        </w:rPr>
        <w:t>2024年</w:t>
      </w:r>
      <w:r>
        <w:rPr>
          <w:rFonts w:eastAsia="仿宋_GB2312" w:hint="eastAsia"/>
          <w:sz w:val="32"/>
          <w:szCs w:val="32"/>
        </w:rPr>
        <w:t>，全区社会</w:t>
      </w:r>
      <w:r>
        <w:rPr>
          <w:rFonts w:eastAsia="仿宋_GB2312"/>
          <w:sz w:val="32"/>
          <w:szCs w:val="32"/>
        </w:rPr>
        <w:t>消费品零售总额</w:t>
      </w:r>
      <w:r>
        <w:rPr>
          <w:rFonts w:eastAsia="仿宋_GB2312" w:hint="eastAsia"/>
          <w:sz w:val="32"/>
          <w:szCs w:val="32"/>
          <w:lang w:val="en-US" w:eastAsia="zh-CN"/>
        </w:rPr>
        <w:t>509.88</w:t>
      </w:r>
      <w:r>
        <w:rPr>
          <w:rFonts w:eastAsia="仿宋_GB2312" w:hint="eastAsia"/>
          <w:sz w:val="32"/>
          <w:szCs w:val="32"/>
        </w:rPr>
        <w:t>亿元</w:t>
      </w:r>
      <w:r>
        <w:rPr>
          <w:rFonts w:eastAsia="仿宋_GB2312"/>
          <w:sz w:val="32"/>
          <w:szCs w:val="32"/>
        </w:rPr>
        <w:t>，同比</w:t>
      </w:r>
      <w:r>
        <w:rPr>
          <w:rFonts w:eastAsia="仿宋_GB2312" w:hint="eastAsia"/>
          <w:sz w:val="32"/>
          <w:szCs w:val="32"/>
        </w:rPr>
        <w:t>下降</w:t>
      </w:r>
      <w:r>
        <w:rPr>
          <w:rFonts w:eastAsia="仿宋_GB2312" w:hint="eastAsia"/>
          <w:sz w:val="32"/>
          <w:szCs w:val="32"/>
          <w:lang w:val="en-US" w:eastAsia="zh-CN"/>
        </w:rPr>
        <w:t>0.5</w:t>
      </w:r>
      <w:r>
        <w:rPr>
          <w:rFonts w:eastAsia="仿宋_GB2312" w:hint="eastAsia"/>
          <w:sz w:val="32"/>
          <w:szCs w:val="32"/>
        </w:rPr>
        <w:t>%，比</w:t>
      </w:r>
      <w:r>
        <w:rPr>
          <w:rFonts w:eastAsia="仿宋_GB2312" w:hint="eastAsia"/>
          <w:sz w:val="32"/>
          <w:szCs w:val="32"/>
          <w:lang w:eastAsia="zh-CN"/>
        </w:rPr>
        <w:t>前三季度</w:t>
      </w:r>
      <w:r>
        <w:rPr>
          <w:rFonts w:eastAsia="仿宋_GB2312" w:hint="eastAsia"/>
          <w:sz w:val="32"/>
          <w:szCs w:val="32"/>
          <w:lang w:val="en-US" w:eastAsia="zh-CN"/>
        </w:rPr>
        <w:t>收窄1.3</w:t>
      </w:r>
      <w:r>
        <w:rPr>
          <w:rFonts w:eastAsia="仿宋_GB2312" w:hint="eastAsia"/>
          <w:sz w:val="32"/>
          <w:szCs w:val="32"/>
        </w:rPr>
        <w:t>个百分点。其中，限额以上单位消费品零售额</w:t>
      </w:r>
      <w:r>
        <w:rPr>
          <w:rFonts w:eastAsia="仿宋_GB2312" w:hint="eastAsia"/>
          <w:sz w:val="32"/>
          <w:szCs w:val="32"/>
          <w:lang w:val="en-US" w:eastAsia="zh-CN"/>
        </w:rPr>
        <w:t>215.16</w:t>
      </w:r>
      <w:r>
        <w:rPr>
          <w:rFonts w:eastAsia="仿宋_GB2312" w:hint="eastAsia"/>
          <w:sz w:val="32"/>
          <w:szCs w:val="32"/>
        </w:rPr>
        <w:t>亿元，同比下降</w:t>
      </w:r>
      <w:r>
        <w:rPr>
          <w:rFonts w:eastAsia="仿宋_GB2312" w:hint="eastAsia"/>
          <w:sz w:val="32"/>
          <w:szCs w:val="32"/>
          <w:lang w:val="en-US" w:eastAsia="zh-CN"/>
        </w:rPr>
        <w:t>6.0</w:t>
      </w:r>
      <w:r>
        <w:rPr>
          <w:rFonts w:eastAsia="仿宋_GB2312" w:hint="eastAsia"/>
          <w:sz w:val="32"/>
          <w:szCs w:val="32"/>
        </w:rPr>
        <w:t>%，比</w:t>
      </w:r>
      <w:r>
        <w:rPr>
          <w:rFonts w:eastAsia="仿宋_GB2312" w:hint="eastAsia"/>
          <w:sz w:val="32"/>
          <w:szCs w:val="32"/>
          <w:lang w:eastAsia="zh-CN"/>
        </w:rPr>
        <w:t>前三季度</w:t>
      </w:r>
      <w:r>
        <w:rPr>
          <w:rFonts w:eastAsia="仿宋_GB2312" w:hint="eastAsia"/>
          <w:sz w:val="32"/>
          <w:szCs w:val="32"/>
          <w:lang w:val="en-US" w:eastAsia="zh-CN"/>
        </w:rPr>
        <w:t>加深0.1</w:t>
      </w:r>
      <w:r>
        <w:rPr>
          <w:rFonts w:eastAsia="仿宋_GB2312" w:hint="eastAsia"/>
          <w:sz w:val="32"/>
          <w:szCs w:val="32"/>
        </w:rPr>
        <w:t>个百分</w:t>
      </w:r>
      <w:r>
        <w:rPr>
          <w:rFonts w:eastAsia="仿宋_GB2312" w:hint="eastAsia"/>
          <w:sz w:val="32"/>
          <w:szCs w:val="32"/>
          <w:highlight w:val="none"/>
        </w:rPr>
        <w:t>点。按消费形态分，商品零售同比下降</w:t>
      </w:r>
      <w:r>
        <w:rPr>
          <w:rFonts w:eastAsia="仿宋_GB2312" w:hint="eastAsia"/>
          <w:sz w:val="32"/>
          <w:szCs w:val="32"/>
          <w:highlight w:val="none"/>
          <w:lang w:val="en-US" w:eastAsia="zh-CN"/>
        </w:rPr>
        <w:t>5.6</w:t>
      </w:r>
      <w:r>
        <w:rPr>
          <w:rFonts w:eastAsia="仿宋_GB2312" w:hint="eastAsia"/>
          <w:sz w:val="32"/>
          <w:szCs w:val="32"/>
          <w:highlight w:val="none"/>
        </w:rPr>
        <w:t>%，餐饮收入同比</w:t>
      </w:r>
      <w:r>
        <w:rPr>
          <w:rFonts w:eastAsia="仿宋_GB2312" w:hint="eastAsia"/>
          <w:sz w:val="32"/>
          <w:szCs w:val="32"/>
          <w:highlight w:val="none"/>
          <w:lang w:val="en-US" w:eastAsia="zh-CN"/>
        </w:rPr>
        <w:t>下降3.6</w:t>
      </w:r>
      <w:r>
        <w:rPr>
          <w:rFonts w:eastAsia="仿宋_GB2312" w:hint="eastAsia"/>
          <w:sz w:val="32"/>
          <w:szCs w:val="32"/>
          <w:highlight w:val="none"/>
        </w:rPr>
        <w:t>%。</w:t>
      </w:r>
    </w:p>
    <w:p w14:paraId="0F793D7D">
      <w:pPr>
        <w:pStyle w:val="style0"/>
        <w:jc w:val="both"/>
        <w:rPr>
          <w:rFonts w:ascii="仿宋_GB2312" w:eastAsia="仿宋_GB2312"/>
          <w:sz w:val="32"/>
          <w:szCs w:val="32"/>
        </w:rPr>
      </w:pPr>
      <w:r>
        <w:rPr/>
      </w:r>
      <w:r/>
      <w:r>
        <w:rPr/>
      </w:r>
      <w:r>
        <w:rPr/>
        <w:drawing>
          <wp:inline distL="114300" distT="0" distB="0" distR="114300">
            <wp:extent cx="5755005" cy="3076575"/>
            <wp:effectExtent l="0" t="0" r="0" b="0"/>
            <wp:docPr id="1033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r>
        <w:rPr/>
      </w:r>
    </w:p>
    <w:p w14:paraId="29328D71">
      <w:pPr>
        <w:pStyle w:val="style0"/>
        <w:spacing w:lineRule="exact" w:line="560"/>
        <w:ind w:firstLine="627" w:firstLineChars="196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五、城镇常住居民人均可支配收入</w:t>
      </w:r>
    </w:p>
    <w:p w14:paraId="115958A5">
      <w:pPr>
        <w:pStyle w:val="style0"/>
        <w:spacing w:lineRule="exact" w:line="560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eastAsia="仿宋_GB2312" w:hint="eastAsia"/>
          <w:sz w:val="32"/>
          <w:szCs w:val="32"/>
          <w:highlight w:val="none"/>
          <w:lang w:val="en-US" w:eastAsia="zh-CN"/>
        </w:rPr>
        <w:t>2024年</w:t>
      </w:r>
      <w:r>
        <w:rPr>
          <w:rFonts w:eastAsia="仿宋_GB2312"/>
          <w:sz w:val="32"/>
          <w:szCs w:val="32"/>
          <w:highlight w:val="none"/>
        </w:rPr>
        <w:t>，全区城镇居民人均可支配收入</w:t>
      </w:r>
      <w:r>
        <w:rPr>
          <w:rFonts w:eastAsia="仿宋_GB2312" w:hint="eastAsia"/>
          <w:sz w:val="32"/>
          <w:szCs w:val="32"/>
          <w:highlight w:val="none"/>
          <w:lang w:val="en-US" w:eastAsia="zh-CN"/>
        </w:rPr>
        <w:t>61506</w:t>
      </w:r>
      <w:r>
        <w:rPr>
          <w:rFonts w:eastAsia="仿宋_GB2312" w:hint="eastAsia"/>
          <w:sz w:val="32"/>
          <w:szCs w:val="32"/>
          <w:highlight w:val="none"/>
        </w:rPr>
        <w:t>元</w:t>
      </w:r>
      <w:r>
        <w:rPr>
          <w:rFonts w:eastAsia="仿宋_GB2312"/>
          <w:sz w:val="32"/>
          <w:szCs w:val="32"/>
          <w:highlight w:val="none"/>
        </w:rPr>
        <w:t>，同比名义增长4.</w:t>
      </w:r>
      <w:r>
        <w:rPr>
          <w:rFonts w:eastAsia="仿宋_GB2312" w:hint="eastAsia"/>
          <w:sz w:val="32"/>
          <w:szCs w:val="32"/>
          <w:highlight w:val="none"/>
          <w:lang w:val="en-US" w:eastAsia="zh-CN"/>
        </w:rPr>
        <w:t>7</w:t>
      </w:r>
      <w:r>
        <w:rPr>
          <w:rFonts w:eastAsia="仿宋_GB2312"/>
          <w:sz w:val="32"/>
          <w:szCs w:val="32"/>
          <w:highlight w:val="none"/>
        </w:rPr>
        <w:t>%</w:t>
      </w:r>
      <w:r>
        <w:rPr>
          <w:rFonts w:eastAsia="仿宋_GB2312" w:hint="eastAsia"/>
          <w:sz w:val="32"/>
          <w:szCs w:val="32"/>
          <w:highlight w:val="none"/>
        </w:rPr>
        <w:t>，</w:t>
      </w:r>
      <w:r>
        <w:rPr>
          <w:rFonts w:eastAsia="仿宋_GB2312" w:hint="eastAsia"/>
          <w:sz w:val="32"/>
          <w:szCs w:val="32"/>
          <w:highlight w:val="none"/>
          <w:lang w:val="en-US" w:eastAsia="zh-CN"/>
        </w:rPr>
        <w:t>与</w:t>
      </w:r>
      <w:r>
        <w:rPr>
          <w:rFonts w:eastAsia="仿宋_GB2312" w:hint="eastAsia"/>
          <w:sz w:val="32"/>
          <w:szCs w:val="32"/>
          <w:highlight w:val="none"/>
          <w:lang w:eastAsia="zh-CN"/>
        </w:rPr>
        <w:t>前三季度</w:t>
      </w:r>
      <w:r>
        <w:rPr>
          <w:rFonts w:eastAsia="仿宋_GB2312" w:hint="eastAsia"/>
          <w:sz w:val="32"/>
          <w:szCs w:val="32"/>
          <w:highlight w:val="none"/>
          <w:lang w:val="en-US" w:eastAsia="zh-CN"/>
        </w:rPr>
        <w:t>回落0.2个百分点</w:t>
      </w:r>
      <w:r>
        <w:rPr>
          <w:rFonts w:eastAsia="仿宋_GB2312" w:hint="eastAsia"/>
          <w:sz w:val="32"/>
          <w:szCs w:val="32"/>
          <w:highlight w:val="none"/>
        </w:rPr>
        <w:t>。</w:t>
      </w:r>
    </w:p>
    <w:p w14:paraId="3E4F3F7B">
      <w:pPr>
        <w:pStyle w:val="style0"/>
        <w:rPr>
          <w:rFonts w:eastAsia="仿宋_GB2312"/>
          <w:sz w:val="32"/>
          <w:szCs w:val="32"/>
        </w:rPr>
      </w:pPr>
      <w:r>
        <w:rPr/>
      </w:r>
      <w:r/>
      <w:r>
        <w:rPr/>
      </w:r>
      <w:r>
        <w:rPr/>
        <w:drawing>
          <wp:inline distL="114300" distT="0" distB="0" distR="114300">
            <wp:extent cx="5755640" cy="3320414"/>
            <wp:effectExtent l="0" t="0" r="0" b="0"/>
            <wp:docPr id="1035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>
        <w:rPr/>
      </w:r>
    </w:p>
    <w:sectPr>
      <w:pgSz w:w="11906" w:h="16838" w:orient="portrait"/>
      <w:pgMar w:top="1985" w:right="1361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_GB2312"/>
    <w:panose1 w:val="020106090300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"/>
    <w:panose1 w:val="020106090600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3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76">
    <w:name w:val="Date"/>
    <w:basedOn w:val="style0"/>
    <w:next w:val="style0"/>
    <w:link w:val="style4100"/>
    <w:qFormat/>
    <w:uiPriority w:val="99"/>
    <w:pPr>
      <w:ind w:left="100" w:leftChars="2500"/>
    </w:pPr>
    <w:rPr/>
  </w:style>
  <w:style w:type="paragraph" w:styleId="style153">
    <w:name w:val="Balloon Text"/>
    <w:basedOn w:val="style0"/>
    <w:next w:val="style153"/>
    <w:link w:val="style4099"/>
    <w:qFormat/>
    <w:uiPriority w:val="99"/>
    <w:pPr/>
    <w:rPr>
      <w:sz w:val="18"/>
      <w:szCs w:val="18"/>
    </w:rPr>
  </w:style>
  <w:style w:type="paragraph" w:styleId="style32">
    <w:name w:val="footer"/>
    <w:basedOn w:val="style0"/>
    <w:next w:val="style32"/>
    <w:link w:val="style4098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7"/>
    <w:qFormat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字符"/>
    <w:basedOn w:val="style65"/>
    <w:next w:val="style4097"/>
    <w:link w:val="style31"/>
    <w:qFormat/>
    <w:uiPriority w:val="99"/>
    <w:rPr>
      <w:rFonts w:ascii="Times New Roman" w:cs="Times New Roman" w:eastAsia="宋体" w:hAnsi="Times New Roman"/>
      <w:sz w:val="18"/>
      <w:szCs w:val="18"/>
    </w:rPr>
  </w:style>
  <w:style w:type="character" w:customStyle="1" w:styleId="style4098">
    <w:name w:val="页脚 字符"/>
    <w:basedOn w:val="style65"/>
    <w:next w:val="style4098"/>
    <w:link w:val="style32"/>
    <w:qFormat/>
    <w:uiPriority w:val="99"/>
    <w:rPr>
      <w:rFonts w:ascii="Times New Roman" w:cs="Times New Roman" w:eastAsia="宋体" w:hAnsi="Times New Roman"/>
      <w:sz w:val="18"/>
      <w:szCs w:val="18"/>
    </w:rPr>
  </w:style>
  <w:style w:type="character" w:customStyle="1" w:styleId="style4099">
    <w:name w:val="批注框文本 字符"/>
    <w:basedOn w:val="style65"/>
    <w:next w:val="style4099"/>
    <w:link w:val="style153"/>
    <w:qFormat/>
    <w:uiPriority w:val="99"/>
    <w:rPr>
      <w:rFonts w:ascii="Times New Roman" w:cs="Times New Roman" w:eastAsia="宋体" w:hAnsi="Times New Roman"/>
      <w:sz w:val="18"/>
      <w:szCs w:val="18"/>
    </w:rPr>
  </w:style>
  <w:style w:type="character" w:customStyle="1" w:styleId="style4100">
    <w:name w:val="日期 字符"/>
    <w:basedOn w:val="style65"/>
    <w:next w:val="style4100"/>
    <w:link w:val="style76"/>
    <w:qFormat/>
    <w:uiPriority w:val="99"/>
    <w:rPr>
      <w:rFonts w:ascii="Times New Roman" w:cs="Times New Roman" w:eastAsia="宋体" w:hAnsi="Times New Roman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chart" Target="charts/chart1.xml"/><Relationship Id="rId3" Type="http://schemas.openxmlformats.org/officeDocument/2006/relationships/chart" Target="charts/chart2.xml"/><Relationship Id="rId4" Type="http://schemas.openxmlformats.org/officeDocument/2006/relationships/chart" Target="charts/chart3.xml"/><Relationship Id="rId10" Type="http://schemas.openxmlformats.org/officeDocument/2006/relationships/theme" Target="theme/theme1.xml"/><Relationship Id="rId9" Type="http://schemas.openxmlformats.org/officeDocument/2006/relationships/settings" Target="settings.xml"/><Relationship Id="rId5" Type="http://schemas.openxmlformats.org/officeDocument/2006/relationships/chart" Target="charts/chart4.xml"/><Relationship Id="rId6" Type="http://schemas.openxmlformats.org/officeDocument/2006/relationships/chart" Target="charts/chart5.xml"/><Relationship Id="rId7" Type="http://schemas.openxmlformats.org/officeDocument/2006/relationships/styles" Target="styles.xml"/><Relationship Id="rId8" Type="http://schemas.openxmlformats.org/officeDocument/2006/relationships/fontTable" Target="fontTable.xml"/></Relationships>
</file>

<file path=word/charts/_rels/chart1.xml.rels><?xml version="1.0" encoding="UTF-8"?>
<Relationships xmlns="http://schemas.openxmlformats.org/package/2006/relationships"><Relationship Id="rId1" Type="http://schemas.openxmlformats.org/officeDocument/2006/relationships/oleObject" TargetMode="External" Target="file:/E:/4&#21508;&#31867;&#32593;&#32476;&#21457;&#24067;&#24773;&#20917;/&#23545;&#22806;&#21457;&#24067;&#26376;&#24230;&#25968;&#25454;/2024/202412&#23545;&#22806;&#21457;&#24067;&#29992;&#22270;.xlsx"/></Relationships>
</file>

<file path=word/charts/_rels/chart2.xml.rels><?xml version="1.0" encoding="UTF-8"?>
<Relationships xmlns="http://schemas.openxmlformats.org/package/2006/relationships"><Relationship Id="rId1" Type="http://schemas.openxmlformats.org/officeDocument/2006/relationships/oleObject" TargetMode="External" Target="file:/E:/4&#21508;&#31867;&#32593;&#32476;&#21457;&#24067;&#24773;&#20917;/&#23545;&#22806;&#21457;&#24067;&#26376;&#24230;&#25968;&#25454;/2024/202412&#23545;&#22806;&#21457;&#24067;&#29992;&#22270;.xlsx"/></Relationships>
</file>

<file path=word/charts/_rels/chart3.xml.rels><?xml version="1.0" encoding="UTF-8"?>
<Relationships xmlns="http://schemas.openxmlformats.org/package/2006/relationships"><Relationship Id="rId1" Type="http://schemas.openxmlformats.org/officeDocument/2006/relationships/oleObject" TargetMode="External" Target="file:/E:/4&#21508;&#31867;&#32593;&#32476;&#21457;&#24067;&#24773;&#20917;/&#23545;&#22806;&#21457;&#24067;&#26376;&#24230;&#25968;&#25454;/2024/202412&#23545;&#22806;&#21457;&#24067;&#29992;&#22270;.xlsx"/></Relationships>
</file>

<file path=word/charts/_rels/chart4.xml.rels><?xml version="1.0" encoding="UTF-8"?>
<Relationships xmlns="http://schemas.openxmlformats.org/package/2006/relationships"><Relationship Id="rId1" Type="http://schemas.openxmlformats.org/officeDocument/2006/relationships/oleObject" TargetMode="External" Target="file:/E:/4&#21508;&#31867;&#32593;&#32476;&#21457;&#24067;&#24773;&#20917;/&#23545;&#22806;&#21457;&#24067;&#26376;&#24230;&#25968;&#25454;/2024/202412&#23545;&#22806;&#21457;&#24067;&#29992;&#22270;.xlsx"/></Relationships>
</file>

<file path=word/charts/_rels/chart5.xml.rels><?xml version="1.0" encoding="UTF-8"?>
<Relationships xmlns="http://schemas.openxmlformats.org/package/2006/relationships"><Relationship Id="rId1" Type="http://schemas.openxmlformats.org/officeDocument/2006/relationships/oleObject" TargetMode="External" Target="file:/E:/4&#21508;&#31867;&#32593;&#32476;&#21457;&#24067;&#24773;&#20917;/&#23545;&#22806;&#21457;&#24067;&#26376;&#24230;&#25968;&#25454;/2024/202412&#23545;&#22806;&#21457;&#24067;&#29992;&#22270;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2023</a:t>
            </a:r>
            <a:r>
              <a:rPr lang="zh-CN" altLang="en-US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年以来地区生产总值累计</a:t>
            </a:r>
            <a:r>
              <a:rPr lang="zh-CN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增速（</a:t>
            </a:r>
            <a:r>
              <a:rPr lang="en-US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%</a:t>
            </a:r>
            <a:r>
              <a:rPr lang="zh-CN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）</a:t>
            </a:r>
            <a:endParaRPr lang="zh-CN" altLang="en-US" sz="1400" b="0">
              <a:latin typeface="黑体" panose="02010609060101010101" charset="-122"/>
              <a:ea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92700700392636"/>
          <c:y val="0.135616170901035"/>
          <c:w val="0.780928107127105"/>
          <c:h val="0.528903743970899"/>
        </c:manualLayout>
      </c:layout>
      <c:lineChart>
        <c:grouping val="standard"/>
        <c:varyColors val="0"/>
        <c:ser>
          <c:idx val="0"/>
          <c:order val="0"/>
          <c:tx>
            <c:strRef>
              <c:f>[202412对外发布用图.xlsx]GDP!$A$2</c:f>
              <c:strCache>
                <c:ptCount val="1"/>
                <c:pt idx="0">
                  <c:v>地区生产总值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[202412对外发布用图.xlsx]GDP!$B$1:$I$1</c:f>
              <c:strCache>
                <c:ptCount val="8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  <c:pt idx="5">
                  <c:v>1-6月</c:v>
                </c:pt>
                <c:pt idx="6">
                  <c:v>1-9月</c:v>
                </c:pt>
                <c:pt idx="7">
                  <c:v>1-12月</c:v>
                </c:pt>
              </c:strCache>
            </c:strRef>
          </c:cat>
          <c:val>
            <c:numRef>
              <c:f>[202412对外发布用图.xlsx]GDP!$B$2:$I$2</c:f>
              <c:numCache>
                <c:formatCode>0.0_ </c:formatCode>
                <c:ptCount val="8"/>
                <c:pt idx="0">
                  <c:v>8.5</c:v>
                </c:pt>
                <c:pt idx="1">
                  <c:v>7.4</c:v>
                </c:pt>
                <c:pt idx="2">
                  <c:v>4.2</c:v>
                </c:pt>
                <c:pt idx="3">
                  <c:v>4.3</c:v>
                </c:pt>
                <c:pt idx="4">
                  <c:v>2.4</c:v>
                </c:pt>
                <c:pt idx="5">
                  <c:v>0.2</c:v>
                </c:pt>
                <c:pt idx="6">
                  <c:v>3.1</c:v>
                </c:pt>
                <c:pt idx="7">
                  <c:v>4.0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[202412对外发布用图.xlsx]GDP!$A$3</c:f>
              <c:strCache>
                <c:ptCount val="1"/>
                <c:pt idx="0">
                  <c:v>第二产业</c:v>
                </c:pt>
              </c:strCache>
            </c:strRef>
          </c:tx>
          <c:dLbls>
            <c:delete val="1"/>
          </c:dLbls>
          <c:cat>
            <c:strRef>
              <c:f>[202412对外发布用图.xlsx]GDP!$B$1:$I$1</c:f>
              <c:strCache>
                <c:ptCount val="8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  <c:pt idx="5">
                  <c:v>1-6月</c:v>
                </c:pt>
                <c:pt idx="6">
                  <c:v>1-9月</c:v>
                </c:pt>
                <c:pt idx="7">
                  <c:v>1-12月</c:v>
                </c:pt>
              </c:strCache>
            </c:strRef>
          </c:cat>
          <c:val>
            <c:numRef>
              <c:f>[202412对外发布用图.xlsx]GDP!$B$3:$I$3</c:f>
              <c:numCache>
                <c:formatCode>0.0_ </c:formatCode>
                <c:ptCount val="8"/>
                <c:pt idx="0">
                  <c:v>12.0</c:v>
                </c:pt>
                <c:pt idx="1">
                  <c:v>7.4</c:v>
                </c:pt>
                <c:pt idx="2">
                  <c:v>-2.2</c:v>
                </c:pt>
                <c:pt idx="3">
                  <c:v>3.9</c:v>
                </c:pt>
                <c:pt idx="4">
                  <c:v>3.8</c:v>
                </c:pt>
                <c:pt idx="5">
                  <c:v>-6.8</c:v>
                </c:pt>
                <c:pt idx="6">
                  <c:v>6.4</c:v>
                </c:pt>
                <c:pt idx="7">
                  <c:v>8.1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[202412对外发布用图.xlsx]GDP!$A$4</c:f>
              <c:strCache>
                <c:ptCount val="1"/>
                <c:pt idx="0">
                  <c:v>第三产业</c:v>
                </c:pt>
              </c:strCache>
            </c:strRef>
          </c:tx>
          <c:dLbls>
            <c:delete val="1"/>
          </c:dLbls>
          <c:cat>
            <c:strRef>
              <c:f>[202412对外发布用图.xlsx]GDP!$B$1:$I$1</c:f>
              <c:strCache>
                <c:ptCount val="8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  <c:pt idx="5">
                  <c:v>1-6月</c:v>
                </c:pt>
                <c:pt idx="6">
                  <c:v>1-9月</c:v>
                </c:pt>
                <c:pt idx="7">
                  <c:v>1-12月</c:v>
                </c:pt>
              </c:strCache>
            </c:strRef>
          </c:cat>
          <c:val>
            <c:numRef>
              <c:f>[202412对外发布用图.xlsx]GDP!$B$4:$I$4</c:f>
              <c:numCache>
                <c:formatCode>0.0_ </c:formatCode>
                <c:ptCount val="8"/>
                <c:pt idx="0">
                  <c:v>7.9</c:v>
                </c:pt>
                <c:pt idx="1">
                  <c:v>7.4</c:v>
                </c:pt>
                <c:pt idx="2">
                  <c:v>5.8</c:v>
                </c:pt>
                <c:pt idx="3">
                  <c:v>4.3</c:v>
                </c:pt>
                <c:pt idx="4">
                  <c:v>2.1</c:v>
                </c:pt>
                <c:pt idx="5">
                  <c:v>1.9</c:v>
                </c:pt>
                <c:pt idx="6">
                  <c:v>2.3</c:v>
                </c:pt>
                <c:pt idx="7">
                  <c:v>3.1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4382208"/>
        <c:axId val="184570240"/>
      </c:lineChart>
      <c:catAx>
        <c:axId val="18438220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84570240"/>
        <c:crosses val="autoZero"/>
        <c:auto val="1"/>
        <c:lblAlgn val="ctr"/>
        <c:lblOffset val="100"/>
        <c:noMultiLvlLbl val="0"/>
      </c:catAx>
      <c:valAx>
        <c:axId val="18457024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8438220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2023</a:t>
            </a:r>
            <a:r>
              <a:rPr lang="zh-CN" altLang="en-US" b="0" i="0" baseline="0">
                <a:effectLst/>
                <a:latin typeface="黑体" panose="02010609060101010101" charset="-122"/>
                <a:ea typeface="黑体" panose="02010609060101010101" charset="-122"/>
              </a:rPr>
              <a:t>年以来规模以上</a:t>
            </a:r>
            <a:r>
              <a:rPr lang="zh-CN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工业增加值累计增速（</a:t>
            </a:r>
            <a:r>
              <a:rPr lang="en-US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%</a:t>
            </a:r>
            <a:r>
              <a:rPr lang="zh-CN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）</a:t>
            </a:r>
            <a:endParaRPr lang="zh-CN" altLang="zh-CN" b="0">
              <a:effectLst/>
              <a:latin typeface="黑体" panose="02010609060101010101" charset="-122"/>
              <a:ea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0784302677729"/>
          <c:y val="0.111563727944412"/>
          <c:w val="0.842318569749443"/>
          <c:h val="0.633259599775462"/>
        </c:manualLayout>
      </c:layout>
      <c:lineChart>
        <c:grouping val="standard"/>
        <c:varyColors val="0"/>
        <c:ser>
          <c:idx val="0"/>
          <c:order val="0"/>
          <c:tx>
            <c:strRef>
              <c:f>[202412对外发布用图.xlsx]工业!$A$2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[202412对外发布用图.xlsx]工业!$B$1:$W$1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[202412对外发布用图.xlsx]工业!$B$2:$W$2</c:f>
              <c:numCache>
                <c:formatCode>0.0_ </c:formatCode>
                <c:ptCount val="22"/>
                <c:pt idx="0">
                  <c:v>14.1</c:v>
                </c:pt>
                <c:pt idx="1">
                  <c:v>19.6</c:v>
                </c:pt>
                <c:pt idx="2">
                  <c:v>11.9</c:v>
                </c:pt>
                <c:pt idx="3">
                  <c:v>6.2</c:v>
                </c:pt>
                <c:pt idx="4">
                  <c:v>10.7</c:v>
                </c:pt>
                <c:pt idx="5">
                  <c:v>10.5</c:v>
                </c:pt>
                <c:pt idx="6">
                  <c:v>9.5</c:v>
                </c:pt>
                <c:pt idx="7">
                  <c:v>7.7</c:v>
                </c:pt>
                <c:pt idx="8">
                  <c:v>12.8</c:v>
                </c:pt>
                <c:pt idx="9">
                  <c:v>13.0</c:v>
                </c:pt>
                <c:pt idx="10">
                  <c:v>2.6</c:v>
                </c:pt>
                <c:pt idx="11">
                  <c:v>1.5</c:v>
                </c:pt>
                <c:pt idx="12">
                  <c:v>-13.9</c:v>
                </c:pt>
                <c:pt idx="13">
                  <c:v>-16.1</c:v>
                </c:pt>
                <c:pt idx="14">
                  <c:v>-14.1</c:v>
                </c:pt>
                <c:pt idx="15">
                  <c:v>-9.9</c:v>
                </c:pt>
                <c:pt idx="16">
                  <c:v>-8.0</c:v>
                </c:pt>
                <c:pt idx="17">
                  <c:v>-5.7</c:v>
                </c:pt>
                <c:pt idx="18">
                  <c:v>-4.6</c:v>
                </c:pt>
                <c:pt idx="19">
                  <c:v>-5.9</c:v>
                </c:pt>
                <c:pt idx="20">
                  <c:v>-7.0</c:v>
                </c:pt>
                <c:pt idx="21">
                  <c:v>-5.5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628864"/>
        <c:axId val="518630400"/>
      </c:lineChart>
      <c:catAx>
        <c:axId val="5186288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30400"/>
        <c:crosses val="autoZero"/>
        <c:auto val="1"/>
        <c:lblAlgn val="ctr"/>
        <c:lblOffset val="100"/>
        <c:noMultiLvlLbl val="0"/>
      </c:catAx>
      <c:valAx>
        <c:axId val="51863040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28864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2023</a:t>
            </a:r>
            <a:r>
              <a:rPr lang="zh-CN" altLang="en-US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年以来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固定资产投资累计增速（</a:t>
            </a: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lang="zh-CN" altLang="zh-CN" sz="1400" b="0">
              <a:effectLst/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2522891347107"/>
          <c:y val="0.132412469888985"/>
          <c:w val="0.854066877053614"/>
          <c:h val="0.634646579582177"/>
        </c:manualLayout>
      </c:layout>
      <c:lineChart>
        <c:grouping val="standard"/>
        <c:varyColors val="0"/>
        <c:ser>
          <c:idx val="0"/>
          <c:order val="0"/>
          <c:tx>
            <c:strRef>
              <c:f>[202412对外发布用图.xlsx]固投!$A$2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[202412对外发布用图.xlsx]固投!$B$1:$W$1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[202412对外发布用图.xlsx]固投!$B$2:$W$2</c:f>
              <c:numCache>
                <c:formatCode>0.0_ </c:formatCode>
                <c:ptCount val="22"/>
                <c:pt idx="0">
                  <c:v>17.2</c:v>
                </c:pt>
                <c:pt idx="1">
                  <c:v>-9.7</c:v>
                </c:pt>
                <c:pt idx="2">
                  <c:v>-8.9</c:v>
                </c:pt>
                <c:pt idx="3">
                  <c:v>-16.3</c:v>
                </c:pt>
                <c:pt idx="4">
                  <c:v>-36.7</c:v>
                </c:pt>
                <c:pt idx="5">
                  <c:v>-38.1</c:v>
                </c:pt>
                <c:pt idx="6">
                  <c:v>-44.4</c:v>
                </c:pt>
                <c:pt idx="7">
                  <c:v>-23.9</c:v>
                </c:pt>
                <c:pt idx="8">
                  <c:v>-34.2</c:v>
                </c:pt>
                <c:pt idx="9">
                  <c:v>-34.3</c:v>
                </c:pt>
                <c:pt idx="10">
                  <c:v>-35.5</c:v>
                </c:pt>
                <c:pt idx="11">
                  <c:v>5.1</c:v>
                </c:pt>
                <c:pt idx="12">
                  <c:v>22.6</c:v>
                </c:pt>
                <c:pt idx="13">
                  <c:v>38.1</c:v>
                </c:pt>
                <c:pt idx="14">
                  <c:v>11.7</c:v>
                </c:pt>
                <c:pt idx="15">
                  <c:v>46.2</c:v>
                </c:pt>
                <c:pt idx="16">
                  <c:v>50.2</c:v>
                </c:pt>
                <c:pt idx="17">
                  <c:v>60.9</c:v>
                </c:pt>
                <c:pt idx="18">
                  <c:v>46.1</c:v>
                </c:pt>
                <c:pt idx="19">
                  <c:v>64.7</c:v>
                </c:pt>
                <c:pt idx="20">
                  <c:v>59.9</c:v>
                </c:pt>
                <c:pt idx="21">
                  <c:v>34.7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0695168"/>
        <c:axId val="240696704"/>
      </c:lineChart>
      <c:catAx>
        <c:axId val="2406951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6704"/>
        <c:crosses val="autoZero"/>
        <c:auto val="1"/>
        <c:lblAlgn val="ctr"/>
        <c:lblOffset val="100"/>
        <c:noMultiLvlLbl val="0"/>
      </c:catAx>
      <c:valAx>
        <c:axId val="24069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516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2023</a:t>
            </a:r>
            <a:r>
              <a:rPr lang="zh-CN" altLang="en-US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年以来社会消费品零售总额累计</a:t>
            </a:r>
            <a:r>
              <a:rPr lang="zh-CN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增速（</a:t>
            </a:r>
            <a:r>
              <a:rPr lang="en-US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%</a:t>
            </a:r>
            <a:r>
              <a:rPr lang="zh-CN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）</a:t>
            </a:r>
            <a:endParaRPr lang="zh-CN" altLang="en-US" sz="1400" b="0">
              <a:latin typeface="黑体" panose="02010609060101010101" charset="-122"/>
              <a:ea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53323629306162"/>
          <c:y val="0.132412469888985"/>
          <c:w val="0.801459854014599"/>
          <c:h val="0.683103047400342"/>
        </c:manualLayout>
      </c:layout>
      <c:lineChart>
        <c:grouping val="standard"/>
        <c:varyColors val="0"/>
        <c:ser>
          <c:idx val="0"/>
          <c:order val="0"/>
          <c:tx>
            <c:strRef>
              <c:f>[202412对外发布用图.xlsx]社消!$A$2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[202412对外发布用图.xlsx]社消!$B$1:$I$1</c:f>
              <c:strCache>
                <c:ptCount val="8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  <c:pt idx="5">
                  <c:v>1-6月</c:v>
                </c:pt>
                <c:pt idx="6">
                  <c:v>1-9月</c:v>
                </c:pt>
                <c:pt idx="7">
                  <c:v>1-12月</c:v>
                </c:pt>
              </c:strCache>
            </c:strRef>
          </c:cat>
          <c:val>
            <c:numRef>
              <c:f>[202412对外发布用图.xlsx]社消!$B$2:$I$2</c:f>
              <c:numCache>
                <c:formatCode>0.0_ </c:formatCode>
                <c:ptCount val="8"/>
                <c:pt idx="0">
                  <c:v>17.5</c:v>
                </c:pt>
                <c:pt idx="1">
                  <c:v>11.7</c:v>
                </c:pt>
                <c:pt idx="2">
                  <c:v>7.0</c:v>
                </c:pt>
                <c:pt idx="3">
                  <c:v>7.1</c:v>
                </c:pt>
                <c:pt idx="4">
                  <c:v>-1.1</c:v>
                </c:pt>
                <c:pt idx="5">
                  <c:v>-2.0</c:v>
                </c:pt>
                <c:pt idx="6">
                  <c:v>-1.8</c:v>
                </c:pt>
                <c:pt idx="7">
                  <c:v>-0.5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6489216"/>
        <c:axId val="139976704"/>
      </c:lineChart>
      <c:catAx>
        <c:axId val="13648921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39976704"/>
        <c:crosses val="autoZero"/>
        <c:auto val="1"/>
        <c:lblAlgn val="ctr"/>
        <c:lblOffset val="100"/>
        <c:noMultiLvlLbl val="0"/>
      </c:catAx>
      <c:valAx>
        <c:axId val="13997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36489216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2023</a:t>
            </a:r>
            <a:r>
              <a:rPr lang="zh-CN" altLang="en-US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年以来城镇居民人均可支配收入累计</a:t>
            </a:r>
            <a:r>
              <a:rPr lang="zh-CN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增速（</a:t>
            </a:r>
            <a:r>
              <a:rPr lang="en-US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%</a:t>
            </a:r>
            <a:r>
              <a:rPr lang="zh-CN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）</a:t>
            </a:r>
            <a:endParaRPr lang="zh-CN" altLang="en-US" sz="1400" b="0">
              <a:latin typeface="黑体" panose="02010609060101010101" charset="-122"/>
              <a:ea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83379758588672"/>
          <c:y val="0.132412469888985"/>
          <c:w val="0.793407613741876"/>
          <c:h val="0.64555953494319"/>
        </c:manualLayout>
      </c:layout>
      <c:lineChart>
        <c:grouping val="standard"/>
        <c:varyColors val="0"/>
        <c:ser>
          <c:idx val="0"/>
          <c:order val="0"/>
          <c:tx>
            <c:strRef>
              <c:f>[202412对外发布用图.xlsx]收入!$A$2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[202412对外发布用图.xlsx]收入!$B$1:$I$1</c:f>
              <c:strCache>
                <c:ptCount val="8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  <c:pt idx="5">
                  <c:v>1-6月</c:v>
                </c:pt>
                <c:pt idx="6">
                  <c:v>1-9月</c:v>
                </c:pt>
                <c:pt idx="7">
                  <c:v>1-12月</c:v>
                </c:pt>
              </c:strCache>
            </c:strRef>
          </c:cat>
          <c:val>
            <c:numRef>
              <c:f>[202412对外发布用图.xlsx]收入!$B$2:$I$2</c:f>
              <c:numCache>
                <c:formatCode>0.0_ </c:formatCode>
                <c:ptCount val="8"/>
                <c:pt idx="0">
                  <c:v>5.4</c:v>
                </c:pt>
                <c:pt idx="1">
                  <c:v>5.5</c:v>
                </c:pt>
                <c:pt idx="2">
                  <c:v>6.0</c:v>
                </c:pt>
                <c:pt idx="3">
                  <c:v>5.9</c:v>
                </c:pt>
                <c:pt idx="4">
                  <c:v>5.5</c:v>
                </c:pt>
                <c:pt idx="5">
                  <c:v>4.9</c:v>
                </c:pt>
                <c:pt idx="6">
                  <c:v>4.9</c:v>
                </c:pt>
                <c:pt idx="7">
                  <c:v>4.7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4774528"/>
        <c:axId val="214776064"/>
      </c:lineChart>
      <c:catAx>
        <c:axId val="21477452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14776064"/>
        <c:crosses val="autoZero"/>
        <c:auto val="1"/>
        <c:lblAlgn val="ctr"/>
        <c:lblOffset val="100"/>
        <c:noMultiLvlLbl val="0"/>
      </c:catAx>
      <c:valAx>
        <c:axId val="21477606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1477452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Words>566</Words>
  <Pages>4</Pages>
  <Characters>717</Characters>
  <Application>WPS Office</Application>
  <DocSecurity>0</DocSecurity>
  <Paragraphs>56</Paragraphs>
  <ScaleCrop>false</ScaleCrop>
  <Company>微软用户</Company>
  <LinksUpToDate>false</LinksUpToDate>
  <CharactersWithSpaces>717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2017-05-31T03:13:00Z</dcterms:created>
  <dc:creator>USER</dc:creator>
  <lastModifiedBy>ADA-AL10U</lastModifiedBy>
  <dcterms:modified xsi:type="dcterms:W3CDTF">2025-01-27T08:00:50Z</dcterms:modified>
  <revision>217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84fb788b0ef144a0bb673775035bf4cb_23</vt:lpwstr>
  </property>
  <property fmtid="{D5CDD505-2E9C-101B-9397-08002B2CF9AE}" pid="4" name="KSOTemplateDocerSaveRecord">
    <vt:lpwstr>eyJoZGlkIjoiYmYxNmY4OTg4NDY1YjMzYTk1NWNkYTNhN2U4MmM0MWEiLCJ1c2VySWQiOiIxMjExODkyMjQ4In0=</vt:lpwstr>
  </property>
</Properties>
</file>